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ind w:left="1511" w:right="1303" w:hanging="185"/>
        <w:spacing w:before="176" w:line="455" w:lineRule="auto"/>
        <w:outlineLvl w:val="0"/>
        <w:rPr>
          <w:rFonts w:ascii="DengXian" w:hAnsi="DengXian" w:eastAsia="DengXian" w:cs="DengXian"/>
          <w:sz w:val="52"/>
          <w:szCs w:val="52"/>
        </w:rPr>
      </w:pPr>
      <w:r>
        <w:rPr>
          <w:rFonts w:ascii="DengXian" w:hAnsi="DengXian" w:eastAsia="DengXian" w:cs="DengXian"/>
          <w:sz w:val="52"/>
          <w:szCs w:val="52"/>
          <w:b/>
          <w:bCs/>
          <w:spacing w:val="-2"/>
        </w:rPr>
        <w:t>辽宁宇光输变电有限公司</w:t>
      </w:r>
      <w:r>
        <w:rPr>
          <w:sz w:val="52"/>
          <w:szCs w:val="52"/>
          <w:b/>
          <w:bCs/>
          <w:spacing w:val="-5"/>
        </w:rPr>
        <w:t>ESG </w:t>
      </w:r>
      <w:r>
        <w:rPr>
          <w:rFonts w:ascii="DengXian" w:hAnsi="DengXian" w:eastAsia="DengXian" w:cs="DengXian"/>
          <w:sz w:val="52"/>
          <w:szCs w:val="52"/>
          <w:b/>
          <w:bCs/>
          <w:spacing w:val="-5"/>
        </w:rPr>
        <w:t>专项信息披露报告</w:t>
      </w:r>
    </w:p>
    <w:p>
      <w:pPr>
        <w:spacing w:line="455" w:lineRule="auto"/>
        <w:sectPr>
          <w:footerReference w:type="default" r:id="rId1"/>
          <w:pgSz w:w="11905" w:h="16841"/>
          <w:pgMar w:top="1431" w:right="1785" w:bottom="933" w:left="1785" w:header="0" w:footer="682" w:gutter="0"/>
        </w:sectPr>
        <w:rPr>
          <w:rFonts w:ascii="DengXian" w:hAnsi="DengXian" w:eastAsia="DengXian" w:cs="DengXian"/>
          <w:sz w:val="52"/>
          <w:szCs w:val="52"/>
        </w:rPr>
      </w:pPr>
    </w:p>
    <w:sdt>
      <w:sdtPr>
        <w:rPr>
          <w:rFonts w:ascii="DengXian" w:hAnsi="DengXian" w:eastAsia="DengXian" w:cs="DengXian"/>
          <w:sz w:val="31"/>
          <w:szCs w:val="31"/>
        </w:rPr>
        <w:docPartObj>
          <w:docPartGallery w:val="Table of Contents"/>
          <w:docPartUnique/>
        </w:docPartObj>
      </w:sdtPr>
      <w:sdtEndPr>
        <w:rPr>
          <w:rFonts w:ascii="DengXian" w:hAnsi="DengXian" w:eastAsia="DengXian" w:cs="DengXian"/>
          <w:sz w:val="21"/>
          <w:szCs w:val="21"/>
        </w:rPr>
      </w:sdtEndPr>
      <w:sdtContent>
        <w:p>
          <w:pPr>
            <w:ind w:left="3647"/>
            <w:spacing w:before="66" w:line="234" w:lineRule="auto"/>
            <w:rPr>
              <w:rFonts w:ascii="DengXian" w:hAnsi="DengXian" w:eastAsia="DengXian" w:cs="DengXian"/>
              <w:sz w:val="31"/>
              <w:szCs w:val="31"/>
            </w:rPr>
          </w:pPr>
          <w:r>
            <w:rPr>
              <w:rFonts w:ascii="DengXian" w:hAnsi="DengXian" w:eastAsia="DengXian" w:cs="DengXian"/>
              <w:sz w:val="31"/>
              <w:szCs w:val="31"/>
              <w:color w:val="2F5496"/>
              <w:spacing w:val="-12"/>
            </w:rPr>
            <w:t>目       录</w:t>
          </w:r>
        </w:p>
        <w:p>
          <w:pPr>
            <w:pStyle w:val="BodyText"/>
            <w:ind w:left="23"/>
            <w:spacing w:before="37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">
            <w:r>
              <w:rPr>
                <w:rFonts w:ascii="DengXian" w:hAnsi="DengXian" w:eastAsia="DengXian" w:cs="DengXian"/>
                <w:b/>
                <w:bCs/>
                <w:spacing w:val="-1"/>
              </w:rPr>
              <w:t>辽宁宇光输变电有限公司 </w:t>
            </w:r>
            <w:r>
              <w:rPr>
                <w:b/>
                <w:bCs/>
                <w:spacing w:val="-1"/>
              </w:rPr>
              <w:t>ESG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专项信息披露报告</w:t>
            </w:r>
            <w:r>
              <w:rPr>
                <w:rFonts w:ascii="DengXian" w:hAnsi="DengXian" w:eastAsia="DengXian" w:cs="DengXian"/>
                <w:b/>
                <w:bCs/>
                <w:spacing w:val="7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3</w:t>
            </w:r>
          </w:hyperlink>
        </w:p>
        <w:p>
          <w:pPr>
            <w:ind w:left="436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1"/>
              </w:rPr>
              <w:t>报告前言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3</w:t>
            </w:r>
          </w:hyperlink>
        </w:p>
        <w:p>
          <w:pPr>
            <w:pStyle w:val="BodyText"/>
            <w:ind w:left="21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3">
            <w:r>
              <w:rPr>
                <w:rFonts w:ascii="DengXian" w:hAnsi="DengXian" w:eastAsia="DengXian" w:cs="DengXian"/>
                <w:b/>
                <w:bCs/>
                <w:spacing w:val="-2"/>
              </w:rPr>
              <w:t>第一部分</w:t>
            </w:r>
            <w:r>
              <w:rPr>
                <w:rFonts w:ascii="DengXian" w:hAnsi="DengXian" w:eastAsia="DengXian" w:cs="DengXi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2"/>
              </w:rPr>
              <w:t>E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环境维度信息披露</w:t>
            </w:r>
            <w:r>
              <w:rPr>
                <w:rFonts w:ascii="DengXian" w:hAnsi="DengXian" w:eastAsia="DengXian" w:cs="DengXian"/>
                <w:b/>
                <w:bCs/>
                <w:spacing w:val="-16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3</w:t>
            </w:r>
          </w:hyperlink>
        </w:p>
        <w:p>
          <w:pPr>
            <w:pStyle w:val="BodyText"/>
            <w:ind w:left="451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4">
            <w:r>
              <w:rPr>
                <w:b/>
                <w:bCs/>
                <w:spacing w:val="-1"/>
              </w:rPr>
              <w:t>1.1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环境体系资质合规披露</w:t>
            </w:r>
            <w:r>
              <w:rPr>
                <w:rFonts w:ascii="DengXian" w:hAnsi="DengXian" w:eastAsia="DengXian" w:cs="DengXian"/>
                <w:b/>
                <w:bCs/>
                <w:spacing w:val="-18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3</w:t>
            </w:r>
          </w:hyperlink>
        </w:p>
        <w:p>
          <w:pPr>
            <w:pStyle w:val="BodyText"/>
            <w:ind w:left="451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5">
            <w:r>
              <w:rPr>
                <w:b/>
                <w:bCs/>
                <w:spacing w:val="-1"/>
              </w:rPr>
              <w:t>1.2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生产污染物全过程管控披露</w:t>
            </w:r>
            <w:r>
              <w:rPr>
                <w:rFonts w:ascii="DengXian" w:hAnsi="DengXian" w:eastAsia="DengXian" w:cs="DengXian"/>
                <w:b/>
                <w:bCs/>
                <w:spacing w:val="-27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0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4</w:t>
            </w:r>
          </w:hyperlink>
        </w:p>
        <w:p>
          <w:pPr>
            <w:pStyle w:val="BodyText"/>
            <w:ind w:left="809"/>
            <w:spacing w:before="66" w:line="186" w:lineRule="auto"/>
            <w:tabs>
              <w:tab w:val="left" w:pos="999"/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6"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9"/>
              </w:rPr>
              <w:t>（</w:t>
            </w:r>
            <w:r>
              <w:rPr>
                <w:b/>
                <w:bCs/>
                <w:spacing w:val="-19"/>
              </w:rPr>
              <w:t>1</w:t>
            </w:r>
            <w:r>
              <w:rPr>
                <w:rFonts w:ascii="DengXian" w:hAnsi="DengXian" w:eastAsia="DengXian" w:cs="DengXian"/>
                <w:b/>
                <w:bCs/>
                <w:spacing w:val="-19"/>
              </w:rPr>
              <w:t>）废气治理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0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4</w:t>
            </w:r>
          </w:hyperlink>
        </w:p>
        <w:p>
          <w:pPr>
            <w:pStyle w:val="BodyText"/>
            <w:ind w:left="809"/>
            <w:spacing w:before="65" w:line="186" w:lineRule="auto"/>
            <w:tabs>
              <w:tab w:val="left" w:pos="999"/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7"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3"/>
              </w:rPr>
              <w:t>（</w:t>
            </w:r>
            <w:r>
              <w:rPr>
                <w:b/>
                <w:bCs/>
                <w:spacing w:val="-13"/>
              </w:rPr>
              <w:t>2</w:t>
            </w:r>
            <w:r>
              <w:rPr>
                <w:rFonts w:ascii="DengXian" w:hAnsi="DengXian" w:eastAsia="DengXian" w:cs="DengXian"/>
                <w:b/>
                <w:bCs/>
                <w:spacing w:val="-13"/>
              </w:rPr>
              <w:t>）</w:t>
            </w:r>
            <w:r>
              <w:rPr>
                <w:rFonts w:ascii="DengXian" w:hAnsi="DengXian" w:eastAsia="DengXian" w:cs="DengXian"/>
                <w:b/>
                <w:bCs/>
                <w:spacing w:val="-35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  <w:spacing w:val="-13"/>
              </w:rPr>
              <w:t>固体废弃物分类管控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0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4</w:t>
            </w:r>
          </w:hyperlink>
        </w:p>
        <w:p>
          <w:pPr>
            <w:pStyle w:val="BodyText"/>
            <w:ind w:left="809"/>
            <w:spacing w:before="62" w:line="186" w:lineRule="auto"/>
            <w:tabs>
              <w:tab w:val="left" w:pos="999"/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8"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3"/>
              </w:rPr>
              <w:t>（</w:t>
            </w:r>
            <w:r>
              <w:rPr>
                <w:b/>
                <w:bCs/>
                <w:spacing w:val="-13"/>
              </w:rPr>
              <w:t>3</w:t>
            </w:r>
            <w:r>
              <w:rPr>
                <w:rFonts w:ascii="DengXian" w:hAnsi="DengXian" w:eastAsia="DengXian" w:cs="DengXian"/>
                <w:b/>
                <w:bCs/>
                <w:spacing w:val="-13"/>
              </w:rPr>
              <w:t>）水资源与噪声管控</w:t>
            </w:r>
            <w:r>
              <w:rPr>
                <w:rFonts w:ascii="DengXian" w:hAnsi="DengXian" w:eastAsia="DengXian" w:cs="DengXian"/>
                <w:b/>
                <w:bCs/>
                <w:spacing w:val="-22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0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4</w:t>
            </w:r>
          </w:hyperlink>
        </w:p>
        <w:p>
          <w:pPr>
            <w:pStyle w:val="BodyText"/>
            <w:ind w:left="451"/>
            <w:spacing w:before="66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9">
            <w:r>
              <w:rPr>
                <w:b/>
                <w:bCs/>
                <w:spacing w:val="-1"/>
              </w:rPr>
              <w:t>1.3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节能低碳与绿色生产实施披露</w:t>
            </w:r>
            <w:r>
              <w:rPr>
                <w:rFonts w:ascii="DengXian" w:hAnsi="DengXian" w:eastAsia="DengXian" w:cs="DengXian"/>
                <w:b/>
                <w:bCs/>
                <w:spacing w:val="-8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10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4</w:t>
            </w:r>
          </w:hyperlink>
        </w:p>
        <w:p>
          <w:pPr>
            <w:pStyle w:val="BodyText"/>
            <w:ind w:left="21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0">
            <w:r>
              <w:rPr>
                <w:rFonts w:ascii="DengXian" w:hAnsi="DengXian" w:eastAsia="DengXian" w:cs="DengXian"/>
                <w:b/>
                <w:bCs/>
                <w:spacing w:val="-1"/>
              </w:rPr>
              <w:t>第二部分 </w:t>
            </w:r>
            <w:r>
              <w:rPr>
                <w:b/>
                <w:bCs/>
                <w:spacing w:val="-1"/>
              </w:rPr>
              <w:t>S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社会责任维度信息披露</w:t>
            </w:r>
            <w:r>
              <w:rPr>
                <w:rFonts w:ascii="DengXian" w:hAnsi="DengXian" w:eastAsia="DengXian" w:cs="DengXian"/>
                <w:b/>
                <w:bCs/>
                <w:spacing w:val="-12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5</w:t>
            </w:r>
          </w:hyperlink>
        </w:p>
        <w:p>
          <w:pPr>
            <w:pStyle w:val="BodyText"/>
            <w:ind w:left="440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1">
            <w:r>
              <w:rPr>
                <w:b/>
                <w:bCs/>
                <w:spacing w:val="-2"/>
              </w:rPr>
              <w:t>2.1</w:t>
            </w:r>
            <w:r>
              <w:rPr>
                <w:b/>
                <w:bCs/>
                <w:spacing w:val="29"/>
                <w:w w:val="101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员工权益保障与职业健康披露</w:t>
            </w:r>
            <w:r>
              <w:rPr>
                <w:rFonts w:ascii="DengXian" w:hAnsi="DengXian" w:eastAsia="DengXian" w:cs="DengXian"/>
                <w:b/>
                <w:bCs/>
                <w:spacing w:val="-11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5</w:t>
            </w:r>
          </w:hyperlink>
        </w:p>
        <w:p>
          <w:pPr>
            <w:pStyle w:val="BodyText"/>
            <w:ind w:left="440"/>
            <w:spacing w:before="64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2">
            <w:r>
              <w:rPr>
                <w:b/>
                <w:bCs/>
                <w:spacing w:val="-1"/>
              </w:rPr>
              <w:t>2.2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上下游供应链可持续管理披露</w:t>
            </w:r>
            <w:r>
              <w:rPr>
                <w:rFonts w:ascii="DengXian" w:hAnsi="DengXian" w:eastAsia="DengXian" w:cs="DengXian"/>
                <w:b/>
                <w:bCs/>
                <w:spacing w:val="4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5</w:t>
            </w:r>
          </w:hyperlink>
        </w:p>
        <w:p>
          <w:pPr>
            <w:pStyle w:val="BodyText"/>
            <w:ind w:left="440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3">
            <w:r>
              <w:rPr>
                <w:b/>
                <w:bCs/>
                <w:spacing w:val="-1"/>
              </w:rPr>
              <w:t>2.3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产品质量履约与客户责任披露</w:t>
            </w:r>
            <w:r>
              <w:rPr>
                <w:rFonts w:ascii="DengXian" w:hAnsi="DengXian" w:eastAsia="DengXian" w:cs="DengXian"/>
                <w:b/>
                <w:bCs/>
                <w:spacing w:val="4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6</w:t>
            </w:r>
          </w:hyperlink>
        </w:p>
        <w:p>
          <w:pPr>
            <w:pStyle w:val="BodyText"/>
            <w:ind w:left="440"/>
            <w:spacing w:before="63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4">
            <w:r>
              <w:rPr>
                <w:b/>
                <w:bCs/>
                <w:spacing w:val="-1"/>
              </w:rPr>
              <w:t>2.4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属地社会公共责任披露</w:t>
            </w:r>
            <w:r>
              <w:rPr>
                <w:rFonts w:ascii="DengXian" w:hAnsi="DengXian" w:eastAsia="DengXian" w:cs="DengXian"/>
                <w:b/>
                <w:bCs/>
                <w:spacing w:val="-8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6</w:t>
            </w:r>
          </w:hyperlink>
        </w:p>
        <w:p>
          <w:pPr>
            <w:pStyle w:val="BodyText"/>
            <w:ind w:left="21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5">
            <w:r>
              <w:rPr>
                <w:rFonts w:ascii="DengXian" w:hAnsi="DengXian" w:eastAsia="DengXian" w:cs="DengXian"/>
                <w:b/>
                <w:bCs/>
                <w:spacing w:val="-1"/>
              </w:rPr>
              <w:t>第三部分 </w:t>
            </w:r>
            <w:r>
              <w:rPr>
                <w:b/>
                <w:bCs/>
                <w:spacing w:val="-1"/>
              </w:rPr>
              <w:t>G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公司治理维度信息披露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6</w:t>
            </w:r>
          </w:hyperlink>
        </w:p>
        <w:p>
          <w:pPr>
            <w:pStyle w:val="BodyText"/>
            <w:ind w:left="442"/>
            <w:spacing w:before="63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6">
            <w:r>
              <w:rPr>
                <w:b/>
                <w:bCs/>
                <w:spacing w:val="-2"/>
              </w:rPr>
              <w:t>3.1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组织架构与</w:t>
            </w:r>
            <w:r>
              <w:rPr>
                <w:rFonts w:ascii="DengXian" w:hAnsi="DengXian" w:eastAsia="DengXian" w:cs="DengXian"/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  <w:spacing w:val="-2"/>
              </w:rPr>
              <w:t>ESG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专项治理架构</w:t>
            </w:r>
            <w:r>
              <w:rPr>
                <w:rFonts w:ascii="DengXian" w:hAnsi="DengXian" w:eastAsia="DengXian" w:cs="DengXian"/>
                <w:b/>
                <w:bCs/>
                <w:spacing w:val="-14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6</w:t>
            </w:r>
          </w:hyperlink>
        </w:p>
        <w:p>
          <w:pPr>
            <w:pStyle w:val="BodyText"/>
            <w:ind w:left="442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7">
            <w:r>
              <w:rPr>
                <w:b/>
                <w:bCs/>
                <w:spacing w:val="-2"/>
              </w:rPr>
              <w:t>3.2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内控风控与商业道德治理披露</w:t>
            </w:r>
            <w:r>
              <w:rPr>
                <w:rFonts w:ascii="DengXian" w:hAnsi="DengXian" w:eastAsia="DengXian" w:cs="DengXian"/>
                <w:b/>
                <w:bCs/>
                <w:spacing w:val="-11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7</w:t>
            </w:r>
          </w:hyperlink>
        </w:p>
        <w:p>
          <w:pPr>
            <w:pStyle w:val="BodyText"/>
            <w:ind w:left="442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8">
            <w:r>
              <w:rPr>
                <w:b/>
                <w:bCs/>
                <w:spacing w:val="-1"/>
              </w:rPr>
              <w:t>3.3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信息安全与应急风险管理披露</w:t>
            </w:r>
            <w:r>
              <w:rPr>
                <w:rFonts w:ascii="DengXian" w:hAnsi="DengXian" w:eastAsia="DengXian" w:cs="DengXian"/>
                <w:b/>
                <w:bCs/>
                <w:spacing w:val="1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7</w:t>
            </w:r>
          </w:hyperlink>
        </w:p>
        <w:p>
          <w:pPr>
            <w:pStyle w:val="BodyText"/>
            <w:ind w:left="21"/>
            <w:spacing w:before="66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19">
            <w:r>
              <w:rPr>
                <w:rFonts w:ascii="DengXian" w:hAnsi="DengXian" w:eastAsia="DengXian" w:cs="DengXian"/>
                <w:b/>
                <w:bCs/>
                <w:spacing w:val="-3"/>
              </w:rPr>
              <w:t>第四部分</w:t>
            </w:r>
            <w:r>
              <w:rPr>
                <w:rFonts w:ascii="DengXian" w:hAnsi="DengXian" w:eastAsia="DengXian" w:cs="DengXian"/>
                <w:b/>
                <w:bCs/>
                <w:spacing w:val="34"/>
                <w:w w:val="101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>中长期</w:t>
            </w:r>
            <w:r>
              <w:rPr>
                <w:rFonts w:ascii="DengXian" w:hAnsi="DengXian" w:eastAsia="DengXian" w:cs="DengXian"/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ESG </w:t>
            </w:r>
            <w:r>
              <w:rPr>
                <w:rFonts w:ascii="DengXian" w:hAnsi="DengXian" w:eastAsia="DengXian" w:cs="DengXian"/>
                <w:b/>
                <w:bCs/>
                <w:spacing w:val="-3"/>
              </w:rPr>
              <w:t>后续规划披露</w:t>
            </w:r>
            <w:r>
              <w:rPr>
                <w:rFonts w:ascii="DengXian" w:hAnsi="DengXian" w:eastAsia="DengXian" w:cs="DengXian"/>
                <w:b/>
                <w:bCs/>
                <w:spacing w:val="-42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7</w:t>
            </w:r>
          </w:hyperlink>
        </w:p>
        <w:p>
          <w:pPr>
            <w:ind w:left="435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0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1"/>
              </w:rPr>
              <w:t>短期规划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7</w:t>
            </w:r>
          </w:hyperlink>
        </w:p>
        <w:p>
          <w:pPr>
            <w:ind w:left="462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1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6"/>
              </w:rPr>
              <w:t>中期规划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8</w:t>
            </w:r>
          </w:hyperlink>
        </w:p>
        <w:p>
          <w:pPr>
            <w:ind w:left="443"/>
            <w:spacing w:before="63" w:line="186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2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2"/>
              </w:rPr>
              <w:t>长期规划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8</w:t>
            </w:r>
          </w:hyperlink>
        </w:p>
        <w:p>
          <w:pPr>
            <w:ind w:left="23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3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1"/>
              </w:rPr>
              <w:t>量化指标专项披露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13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8</w:t>
            </w:r>
          </w:hyperlink>
        </w:p>
        <w:p>
          <w:pPr>
            <w:pStyle w:val="BodyText"/>
            <w:ind w:left="446"/>
            <w:spacing w:before="64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24">
            <w:r>
              <w:rPr>
                <w:rFonts w:ascii="DengXian" w:hAnsi="DengXian" w:eastAsia="DengXian" w:cs="DengXian"/>
                <w:b/>
                <w:bCs/>
                <w:spacing w:val="-2"/>
              </w:rPr>
              <w:t>一、环境</w:t>
            </w:r>
            <w:r>
              <w:rPr>
                <w:rFonts w:ascii="DengXian" w:hAnsi="DengXian" w:eastAsia="DengXian" w:cs="DengXian"/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2"/>
              </w:rPr>
              <w:t>E </w:t>
            </w:r>
            <w:r>
              <w:rPr>
                <w:rFonts w:ascii="DengXian" w:hAnsi="DengXian" w:eastAsia="DengXian" w:cs="DengXian"/>
                <w:b/>
                <w:bCs/>
                <w:spacing w:val="-2"/>
              </w:rPr>
              <w:t>维度量化数据</w:t>
            </w:r>
            <w:r>
              <w:rPr>
                <w:rFonts w:ascii="DengXian" w:hAnsi="DengXian" w:eastAsia="DengXian" w:cs="DengXian"/>
                <w:b/>
                <w:bCs/>
                <w:spacing w:val="-16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8</w:t>
            </w:r>
          </w:hyperlink>
        </w:p>
        <w:p>
          <w:pPr>
            <w:pStyle w:val="BodyText"/>
            <w:ind w:left="449"/>
            <w:spacing w:before="65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25">
            <w:r>
              <w:rPr>
                <w:rFonts w:ascii="DengXian" w:hAnsi="DengXian" w:eastAsia="DengXian" w:cs="DengXian"/>
                <w:b/>
                <w:bCs/>
                <w:spacing w:val="-1"/>
              </w:rPr>
              <w:t>二、社会 </w:t>
            </w:r>
            <w:r>
              <w:rPr>
                <w:b/>
                <w:bCs/>
                <w:spacing w:val="-1"/>
              </w:rPr>
              <w:t>S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维度量化绩效</w:t>
            </w:r>
            <w:r>
              <w:rPr>
                <w:rFonts w:ascii="DengXian" w:hAnsi="DengXian" w:eastAsia="DengXian" w:cs="DengXian"/>
                <w:b/>
                <w:bCs/>
                <w:spacing w:val="-16"/>
              </w:rPr>
              <w:t xml:space="preserve">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9</w:t>
            </w:r>
          </w:hyperlink>
        </w:p>
        <w:p>
          <w:pPr>
            <w:pStyle w:val="BodyText"/>
            <w:ind w:left="445"/>
            <w:spacing w:before="62" w:line="186" w:lineRule="auto"/>
            <w:tabs>
              <w:tab w:val="right" w:leader="dot" w:pos="8310"/>
            </w:tabs>
            <w:rPr>
              <w:rFonts w:ascii="DengXian" w:hAnsi="DengXian" w:eastAsia="DengXian" w:cs="DengXian"/>
            </w:rPr>
          </w:pPr>
          <w:hyperlink w:history="true" w:anchor="bookmark26">
            <w:r>
              <w:rPr>
                <w:rFonts w:ascii="DengXian" w:hAnsi="DengXian" w:eastAsia="DengXian" w:cs="DengXian"/>
                <w:b/>
                <w:bCs/>
                <w:spacing w:val="-1"/>
              </w:rPr>
              <w:t>三、治理 </w:t>
            </w:r>
            <w:r>
              <w:rPr>
                <w:b/>
                <w:bCs/>
                <w:spacing w:val="-1"/>
              </w:rPr>
              <w:t>G </w:t>
            </w:r>
            <w:r>
              <w:rPr>
                <w:rFonts w:ascii="DengXian" w:hAnsi="DengXian" w:eastAsia="DengXian" w:cs="DengXian"/>
                <w:b/>
                <w:bCs/>
                <w:spacing w:val="-1"/>
              </w:rPr>
              <w:t>维度量化运营指标 </w:t>
            </w:r>
            <w:r>
              <w:rPr>
                <w:rFonts w:ascii="DengXian" w:hAnsi="DengXian" w:eastAsia="DengXian" w:cs="DengXian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</w:rPr>
              <w:t>9</w:t>
            </w:r>
          </w:hyperlink>
        </w:p>
        <w:p>
          <w:pPr>
            <w:ind w:left="459"/>
            <w:spacing w:before="65" w:line="225" w:lineRule="auto"/>
            <w:tabs>
              <w:tab w:val="right" w:leader="dot" w:pos="8310"/>
            </w:tabs>
            <w:rPr>
              <w:rFonts w:ascii="DengXian" w:hAnsi="DengXian" w:eastAsia="DengXian" w:cs="DengXian"/>
              <w:sz w:val="21"/>
              <w:szCs w:val="21"/>
            </w:rPr>
          </w:pPr>
          <w:hyperlink w:history="true" w:anchor="bookmark27"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3"/>
              </w:rPr>
              <w:t>四、补充承诺条款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23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</w:rPr>
              <w:tab/>
            </w:r>
            <w:r>
              <w:rPr>
                <w:rFonts w:ascii="DengXian" w:hAnsi="DengXian" w:eastAsia="DengXian" w:cs="DengXian"/>
                <w:sz w:val="21"/>
                <w:szCs w:val="21"/>
                <w:b/>
                <w:bCs/>
                <w:spacing w:val="-4"/>
              </w:rPr>
              <w:t xml:space="preserve"> </w:t>
            </w:r>
            <w:r>
              <w:rPr>
                <w:rFonts w:ascii="DengXian" w:hAnsi="DengXian" w:eastAsia="DengXian" w:cs="DengXian"/>
                <w:sz w:val="21"/>
                <w:szCs w:val="21"/>
              </w:rPr>
              <w:t>9</w:t>
            </w:r>
          </w:hyperlink>
        </w:p>
      </w:sdtContent>
    </w:sdt>
    <w:p>
      <w:pPr>
        <w:spacing w:line="225" w:lineRule="auto"/>
        <w:sectPr>
          <w:footerReference w:type="default" r:id="rId2"/>
          <w:pgSz w:w="11905" w:h="16841"/>
          <w:pgMar w:top="1424" w:right="1785" w:bottom="933" w:left="1785" w:header="0" w:footer="682" w:gutter="0"/>
        </w:sectPr>
        <w:rPr>
          <w:rFonts w:ascii="DengXian" w:hAnsi="DengXian" w:eastAsia="DengXian" w:cs="DengXian"/>
          <w:sz w:val="21"/>
          <w:szCs w:val="21"/>
        </w:rPr>
      </w:pPr>
    </w:p>
    <w:p>
      <w:pPr>
        <w:pStyle w:val="BodyText"/>
        <w:ind w:left="28"/>
        <w:spacing w:before="75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1" w:id="1"/>
      <w:bookmarkEnd w:id="1"/>
      <w:bookmarkStart w:name="bookmark2" w:id="2"/>
      <w:bookmarkEnd w:id="2"/>
      <w:r>
        <w:rPr>
          <w:rFonts w:ascii="DengXian" w:hAnsi="DengXian" w:eastAsia="DengXian" w:cs="DengXian"/>
          <w:sz w:val="36"/>
          <w:szCs w:val="36"/>
          <w:b/>
          <w:bCs/>
          <w:spacing w:val="-3"/>
        </w:rPr>
        <w:t>辽宁宇光输变电有限公司</w:t>
      </w:r>
      <w:r>
        <w:rPr>
          <w:rFonts w:ascii="DengXian" w:hAnsi="DengXian" w:eastAsia="DengXian" w:cs="DengXian"/>
          <w:sz w:val="36"/>
          <w:szCs w:val="36"/>
          <w:b/>
          <w:bCs/>
          <w:spacing w:val="29"/>
        </w:rPr>
        <w:t xml:space="preserve"> </w:t>
      </w:r>
      <w:r>
        <w:rPr>
          <w:sz w:val="36"/>
          <w:szCs w:val="36"/>
          <w:b/>
          <w:bCs/>
          <w:spacing w:val="-3"/>
        </w:rPr>
        <w:t>ESG</w:t>
      </w:r>
      <w:r>
        <w:rPr>
          <w:sz w:val="36"/>
          <w:szCs w:val="36"/>
          <w:b/>
          <w:bCs/>
          <w:spacing w:val="26"/>
        </w:rPr>
        <w:t xml:space="preserve"> </w:t>
      </w:r>
      <w:r>
        <w:rPr>
          <w:rFonts w:ascii="DengXian" w:hAnsi="DengXian" w:eastAsia="DengXian" w:cs="DengXian"/>
          <w:sz w:val="36"/>
          <w:szCs w:val="36"/>
          <w:b/>
          <w:bCs/>
          <w:spacing w:val="-3"/>
        </w:rPr>
        <w:t>专项信息披露</w:t>
      </w:r>
      <w:r>
        <w:rPr>
          <w:rFonts w:ascii="DengXian" w:hAnsi="DengXian" w:eastAsia="DengXian" w:cs="DengXian"/>
          <w:sz w:val="36"/>
          <w:szCs w:val="36"/>
          <w:b/>
          <w:bCs/>
          <w:spacing w:val="-4"/>
        </w:rPr>
        <w:t>报告</w:t>
      </w:r>
    </w:p>
    <w:p>
      <w:pPr>
        <w:pStyle w:val="BodyText"/>
        <w:spacing w:line="338" w:lineRule="auto"/>
        <w:rPr/>
      </w:pPr>
      <w:r/>
    </w:p>
    <w:p>
      <w:pPr>
        <w:ind w:left="17"/>
        <w:spacing w:before="105" w:line="232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8" w:id="3"/>
      <w:bookmarkEnd w:id="3"/>
      <w:r>
        <w:rPr>
          <w:rFonts w:ascii="DengXian" w:hAnsi="DengXian" w:eastAsia="DengXian" w:cs="DengXian"/>
          <w:sz w:val="31"/>
          <w:szCs w:val="31"/>
          <w:b/>
          <w:bCs/>
          <w:spacing w:val="8"/>
        </w:rPr>
        <w:t>报告前言</w:t>
      </w:r>
    </w:p>
    <w:p>
      <w:pPr>
        <w:pStyle w:val="BodyText"/>
        <w:ind w:left="48" w:right="236" w:firstLine="534"/>
        <w:spacing w:before="227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本份</w:t>
      </w:r>
      <w:r>
        <w:rPr>
          <w:rFonts w:ascii="DengXian" w:hAnsi="DengXian" w:eastAsia="DengXian" w:cs="DengXian"/>
          <w:sz w:val="28"/>
          <w:szCs w:val="28"/>
          <w:spacing w:val="25"/>
        </w:rPr>
        <w:t xml:space="preserve"> </w:t>
      </w:r>
      <w:r>
        <w:rPr>
          <w:sz w:val="28"/>
          <w:szCs w:val="28"/>
          <w:spacing w:val="-2"/>
        </w:rPr>
        <w:t>ESG </w:t>
      </w:r>
      <w:r>
        <w:rPr>
          <w:rFonts w:ascii="DengXian" w:hAnsi="DengXian" w:eastAsia="DengXian" w:cs="DengXian"/>
          <w:sz w:val="28"/>
          <w:szCs w:val="28"/>
          <w:spacing w:val="-2"/>
        </w:rPr>
        <w:t>专项信息披露参照 </w:t>
      </w:r>
      <w:r>
        <w:rPr>
          <w:sz w:val="28"/>
          <w:szCs w:val="28"/>
          <w:spacing w:val="-2"/>
        </w:rPr>
        <w:t>GRI </w:t>
      </w:r>
      <w:r>
        <w:rPr>
          <w:rFonts w:ascii="DengXian" w:hAnsi="DengXian" w:eastAsia="DengXian" w:cs="DengXian"/>
          <w:sz w:val="28"/>
          <w:szCs w:val="28"/>
          <w:spacing w:val="-2"/>
        </w:rPr>
        <w:t>可持续</w:t>
      </w:r>
      <w:r>
        <w:rPr>
          <w:rFonts w:ascii="DengXian" w:hAnsi="DengXian" w:eastAsia="DengXian" w:cs="DengXian"/>
          <w:sz w:val="28"/>
          <w:szCs w:val="28"/>
          <w:spacing w:val="-3"/>
        </w:rPr>
        <w:t>发展通用披露准则、</w:t>
      </w:r>
      <w:r>
        <w:rPr>
          <w:rFonts w:ascii="DengXian" w:hAnsi="DengXian" w:eastAsia="DengXian" w:cs="DengXian"/>
          <w:sz w:val="28"/>
          <w:szCs w:val="28"/>
          <w:spacing w:val="-2"/>
        </w:rPr>
        <w:t>电力装备制造行业</w:t>
      </w:r>
      <w:r>
        <w:rPr>
          <w:rFonts w:ascii="DengXian" w:hAnsi="DengXian" w:eastAsia="DengXian" w:cs="DengXian"/>
          <w:sz w:val="28"/>
          <w:szCs w:val="28"/>
          <w:spacing w:val="30"/>
        </w:rPr>
        <w:t xml:space="preserve"> </w:t>
      </w:r>
      <w:r>
        <w:rPr>
          <w:sz w:val="28"/>
          <w:szCs w:val="28"/>
          <w:spacing w:val="-2"/>
        </w:rPr>
        <w:t>ESG </w:t>
      </w:r>
      <w:r>
        <w:rPr>
          <w:rFonts w:ascii="DengXian" w:hAnsi="DengXian" w:eastAsia="DengXian" w:cs="DengXian"/>
          <w:sz w:val="28"/>
          <w:szCs w:val="28"/>
          <w:spacing w:val="-2"/>
        </w:rPr>
        <w:t>管理指引编制，披露主体为辽宁宇光输变</w:t>
      </w:r>
      <w:r>
        <w:rPr>
          <w:rFonts w:ascii="DengXian" w:hAnsi="DengXian" w:eastAsia="DengXian" w:cs="DengXian"/>
          <w:sz w:val="28"/>
          <w:szCs w:val="28"/>
          <w:spacing w:val="-3"/>
        </w:rPr>
        <w:t>电有限公司，披露周期为完整自然经营年度。</w:t>
      </w:r>
    </w:p>
    <w:p>
      <w:pPr>
        <w:pStyle w:val="BodyText"/>
        <w:ind w:left="37" w:right="190" w:firstLine="611"/>
        <w:spacing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公司业务覆盖</w:t>
      </w:r>
      <w:r>
        <w:rPr>
          <w:rFonts w:ascii="DengXian" w:hAnsi="DengXian" w:eastAsia="DengXian" w:cs="DengXian"/>
          <w:sz w:val="28"/>
          <w:szCs w:val="28"/>
          <w:spacing w:val="37"/>
        </w:rPr>
        <w:t xml:space="preserve"> </w:t>
      </w:r>
      <w:r>
        <w:rPr>
          <w:sz w:val="28"/>
          <w:szCs w:val="28"/>
          <w:spacing w:val="-2"/>
        </w:rPr>
        <w:t>10kV </w:t>
      </w:r>
      <w:r>
        <w:rPr>
          <w:rFonts w:ascii="DengXian" w:hAnsi="DengXian" w:eastAsia="DengXian" w:cs="DengXian"/>
          <w:sz w:val="28"/>
          <w:szCs w:val="28"/>
          <w:spacing w:val="-2"/>
        </w:rPr>
        <w:t>全绝缘隔离开关、跌落式熔断器、配电避</w:t>
      </w:r>
      <w:r>
        <w:rPr>
          <w:rFonts w:ascii="DengXian" w:hAnsi="DengXian" w:eastAsia="DengXian" w:cs="DengXian"/>
          <w:sz w:val="28"/>
          <w:szCs w:val="28"/>
          <w:spacing w:val="-1"/>
        </w:rPr>
        <w:t>雷器、紧凑型断路器的研发设计、智能制造、进</w:t>
      </w:r>
      <w:r>
        <w:rPr>
          <w:rFonts w:ascii="DengXian" w:hAnsi="DengXian" w:eastAsia="DengXian" w:cs="DengXian"/>
          <w:sz w:val="28"/>
          <w:szCs w:val="28"/>
          <w:spacing w:val="-2"/>
        </w:rPr>
        <w:t>厂检验、成品组</w:t>
      </w:r>
    </w:p>
    <w:p>
      <w:pPr>
        <w:ind w:left="32"/>
        <w:spacing w:line="225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装、型式试验、仓储配送、售后运维全业务链条。</w:t>
      </w:r>
    </w:p>
    <w:p>
      <w:pPr>
        <w:pStyle w:val="BodyText"/>
        <w:ind w:left="21" w:right="98" w:firstLine="562"/>
        <w:spacing w:before="332" w:line="362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公司主动将</w:t>
      </w:r>
      <w:r>
        <w:rPr>
          <w:rFonts w:ascii="DengXian" w:hAnsi="DengXian" w:eastAsia="DengXian" w:cs="DengXian"/>
          <w:sz w:val="28"/>
          <w:szCs w:val="28"/>
          <w:spacing w:val="25"/>
        </w:rPr>
        <w:t xml:space="preserve"> </w:t>
      </w:r>
      <w:r>
        <w:rPr>
          <w:sz w:val="28"/>
          <w:szCs w:val="28"/>
          <w:spacing w:val="-1"/>
        </w:rPr>
        <w:t>ESG </w:t>
      </w:r>
      <w:r>
        <w:rPr>
          <w:rFonts w:ascii="DengXian" w:hAnsi="DengXian" w:eastAsia="DengXian" w:cs="DengXian"/>
          <w:sz w:val="28"/>
          <w:szCs w:val="28"/>
          <w:spacing w:val="-1"/>
        </w:rPr>
        <w:t>可持续经营理念、国家双</w:t>
      </w:r>
      <w:r>
        <w:rPr>
          <w:rFonts w:ascii="DengXian" w:hAnsi="DengXian" w:eastAsia="DengXian" w:cs="DengXian"/>
          <w:sz w:val="28"/>
          <w:szCs w:val="28"/>
          <w:spacing w:val="-2"/>
        </w:rPr>
        <w:t>碳发展战略融入顶</w:t>
      </w:r>
      <w:r>
        <w:rPr>
          <w:rFonts w:ascii="DengXian" w:hAnsi="DengXian" w:eastAsia="DengXian" w:cs="DengXian"/>
          <w:sz w:val="28"/>
          <w:szCs w:val="28"/>
          <w:spacing w:val="-14"/>
        </w:rPr>
        <w:t>层经营规划，以</w:t>
      </w:r>
      <w:r>
        <w:rPr>
          <w:rFonts w:ascii="DengXian" w:hAnsi="DengXian" w:eastAsia="DengXian" w:cs="DengXian"/>
          <w:sz w:val="28"/>
          <w:szCs w:val="28"/>
          <w:spacing w:val="22"/>
          <w:w w:val="101"/>
        </w:rPr>
        <w:t xml:space="preserve"> </w:t>
      </w:r>
      <w:r>
        <w:rPr>
          <w:sz w:val="28"/>
          <w:szCs w:val="28"/>
          <w:spacing w:val="-14"/>
        </w:rPr>
        <w:t>E</w:t>
      </w:r>
      <w:r>
        <w:rPr>
          <w:rFonts w:ascii="DengXian" w:hAnsi="DengXian" w:eastAsia="DengXian" w:cs="DengXian"/>
          <w:sz w:val="28"/>
          <w:szCs w:val="28"/>
          <w:spacing w:val="-14"/>
        </w:rPr>
        <w:t>（环境）、 </w:t>
      </w:r>
      <w:r>
        <w:rPr>
          <w:sz w:val="28"/>
          <w:szCs w:val="28"/>
          <w:spacing w:val="-14"/>
        </w:rPr>
        <w:t>S</w:t>
      </w:r>
      <w:r>
        <w:rPr>
          <w:rFonts w:ascii="DengXian" w:hAnsi="DengXian" w:eastAsia="DengXian" w:cs="DengXian"/>
          <w:sz w:val="28"/>
          <w:szCs w:val="28"/>
          <w:spacing w:val="-14"/>
        </w:rPr>
        <w:t>（社会责任）、</w:t>
      </w:r>
      <w:r>
        <w:rPr>
          <w:rFonts w:ascii="DengXian" w:hAnsi="DengXian" w:eastAsia="DengXian" w:cs="DengXian"/>
          <w:sz w:val="28"/>
          <w:szCs w:val="28"/>
          <w:spacing w:val="-15"/>
        </w:rPr>
        <w:t xml:space="preserve"> </w:t>
      </w:r>
      <w:r>
        <w:rPr>
          <w:sz w:val="28"/>
          <w:szCs w:val="28"/>
          <w:spacing w:val="-15"/>
        </w:rPr>
        <w:t>G</w:t>
      </w:r>
      <w:r>
        <w:rPr>
          <w:rFonts w:ascii="DengXian" w:hAnsi="DengXian" w:eastAsia="DengXian" w:cs="DengXian"/>
          <w:sz w:val="28"/>
          <w:szCs w:val="28"/>
          <w:spacing w:val="-15"/>
        </w:rPr>
        <w:t>（公司治理）三大维</w:t>
      </w:r>
      <w:r>
        <w:rPr>
          <w:rFonts w:ascii="DengXian" w:hAnsi="DengXian" w:eastAsia="DengXian" w:cs="DengXian"/>
          <w:sz w:val="28"/>
          <w:szCs w:val="28"/>
        </w:rPr>
        <w:t>度开展常态化自主信息披露，完善内部管控体</w:t>
      </w:r>
      <w:r>
        <w:rPr>
          <w:rFonts w:ascii="DengXian" w:hAnsi="DengXian" w:eastAsia="DengXian" w:cs="DengXian"/>
          <w:sz w:val="28"/>
          <w:szCs w:val="28"/>
          <w:spacing w:val="-1"/>
        </w:rPr>
        <w:t>系，履行电网供应商</w:t>
      </w:r>
      <w:r>
        <w:rPr>
          <w:rFonts w:ascii="DengXian" w:hAnsi="DengXian" w:eastAsia="DengXian" w:cs="DengXian"/>
          <w:sz w:val="28"/>
          <w:szCs w:val="28"/>
          <w:spacing w:val="-1"/>
        </w:rPr>
        <w:t>绿色履约义务、属地企业社会责任，现将本年度</w:t>
      </w:r>
      <w:r>
        <w:rPr>
          <w:rFonts w:ascii="DengXian" w:hAnsi="DengXian" w:eastAsia="DengXian" w:cs="DengXian"/>
          <w:sz w:val="28"/>
          <w:szCs w:val="28"/>
          <w:spacing w:val="26"/>
          <w:w w:val="101"/>
        </w:rPr>
        <w:t xml:space="preserve"> </w:t>
      </w:r>
      <w:r>
        <w:rPr>
          <w:sz w:val="28"/>
          <w:szCs w:val="28"/>
          <w:spacing w:val="-1"/>
        </w:rPr>
        <w:t>ESG </w:t>
      </w:r>
      <w:r>
        <w:rPr>
          <w:rFonts w:ascii="DengXian" w:hAnsi="DengXian" w:eastAsia="DengXian" w:cs="DengXian"/>
          <w:sz w:val="28"/>
          <w:szCs w:val="28"/>
          <w:spacing w:val="-1"/>
        </w:rPr>
        <w:t>各项运</w:t>
      </w:r>
      <w:r>
        <w:rPr>
          <w:rFonts w:ascii="DengXian" w:hAnsi="DengXian" w:eastAsia="DengXian" w:cs="DengXian"/>
          <w:sz w:val="28"/>
          <w:szCs w:val="28"/>
          <w:spacing w:val="-2"/>
        </w:rPr>
        <w:t>营管</w:t>
      </w:r>
      <w:r>
        <w:rPr>
          <w:rFonts w:ascii="DengXian" w:hAnsi="DengXian" w:eastAsia="DengXian" w:cs="DengXian"/>
          <w:sz w:val="28"/>
          <w:szCs w:val="28"/>
          <w:spacing w:val="-3"/>
        </w:rPr>
        <w:t>理信息完整披露如下。</w:t>
      </w:r>
    </w:p>
    <w:p>
      <w:pPr>
        <w:pStyle w:val="BodyText"/>
        <w:spacing w:line="253" w:lineRule="auto"/>
        <w:rPr/>
      </w:pPr>
      <w:r/>
    </w:p>
    <w:p>
      <w:pPr>
        <w:pStyle w:val="BodyText"/>
        <w:ind w:left="25"/>
        <w:spacing w:before="123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3" w:id="4"/>
      <w:bookmarkEnd w:id="4"/>
      <w:bookmarkStart w:name="bookmark4" w:id="5"/>
      <w:bookmarkEnd w:id="5"/>
      <w:r>
        <w:rPr>
          <w:rFonts w:ascii="DengXian" w:hAnsi="DengXian" w:eastAsia="DengXian" w:cs="DengXian"/>
          <w:sz w:val="36"/>
          <w:szCs w:val="36"/>
          <w:b/>
          <w:bCs/>
          <w:spacing w:val="-3"/>
        </w:rPr>
        <w:t>第一部分</w:t>
      </w:r>
      <w:r>
        <w:rPr>
          <w:rFonts w:ascii="DengXian" w:hAnsi="DengXian" w:eastAsia="DengXian" w:cs="DengXian"/>
          <w:sz w:val="36"/>
          <w:szCs w:val="36"/>
          <w:b/>
          <w:bCs/>
          <w:spacing w:val="30"/>
        </w:rPr>
        <w:t xml:space="preserve"> </w:t>
      </w:r>
      <w:r>
        <w:rPr>
          <w:sz w:val="36"/>
          <w:szCs w:val="36"/>
          <w:b/>
          <w:bCs/>
          <w:spacing w:val="-3"/>
        </w:rPr>
        <w:t>E </w:t>
      </w:r>
      <w:r>
        <w:rPr>
          <w:rFonts w:ascii="DengXian" w:hAnsi="DengXian" w:eastAsia="DengXian" w:cs="DengXian"/>
          <w:sz w:val="36"/>
          <w:szCs w:val="36"/>
          <w:b/>
          <w:bCs/>
          <w:spacing w:val="-3"/>
        </w:rPr>
        <w:t>环境维度信息披露</w:t>
      </w:r>
    </w:p>
    <w:p>
      <w:pPr>
        <w:pStyle w:val="BodyText"/>
        <w:spacing w:line="340" w:lineRule="auto"/>
        <w:rPr/>
      </w:pPr>
      <w:r/>
    </w:p>
    <w:p>
      <w:pPr>
        <w:pStyle w:val="BodyText"/>
        <w:ind w:left="40"/>
        <w:spacing w:before="105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9" w:id="6"/>
      <w:bookmarkEnd w:id="6"/>
      <w:r>
        <w:rPr>
          <w:sz w:val="31"/>
          <w:szCs w:val="31"/>
          <w:b/>
          <w:bCs/>
          <w:spacing w:val="6"/>
        </w:rPr>
        <w:t>1.1 </w:t>
      </w:r>
      <w:r>
        <w:rPr>
          <w:rFonts w:ascii="DengXian" w:hAnsi="DengXian" w:eastAsia="DengXian" w:cs="DengXian"/>
          <w:sz w:val="31"/>
          <w:szCs w:val="31"/>
          <w:b/>
          <w:bCs/>
          <w:spacing w:val="6"/>
        </w:rPr>
        <w:t>环境体系资质合规披露</w:t>
      </w:r>
    </w:p>
    <w:p>
      <w:pPr>
        <w:pStyle w:val="BodyText"/>
        <w:ind w:left="584"/>
        <w:spacing w:before="231" w:line="226" w:lineRule="auto"/>
        <w:rPr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公司现已搭建并常态化落地三套标准化管理体系：</w:t>
      </w:r>
      <w:r>
        <w:rPr>
          <w:rFonts w:ascii="DengXian" w:hAnsi="DengXian" w:eastAsia="DengXian" w:cs="DengXian"/>
          <w:sz w:val="28"/>
          <w:szCs w:val="28"/>
          <w:spacing w:val="33"/>
        </w:rPr>
        <w:t xml:space="preserve"> </w:t>
      </w:r>
      <w:r>
        <w:rPr>
          <w:sz w:val="28"/>
          <w:szCs w:val="28"/>
          <w:spacing w:val="-4"/>
        </w:rPr>
        <w:t>ISO14001</w:t>
      </w:r>
    </w:p>
    <w:p>
      <w:pPr>
        <w:pStyle w:val="BodyText"/>
        <w:ind w:left="28" w:right="37"/>
        <w:spacing w:before="209" w:line="361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环境管理体系、</w:t>
      </w:r>
      <w:r>
        <w:rPr>
          <w:rFonts w:ascii="DengXian" w:hAnsi="DengXian" w:eastAsia="DengXian" w:cs="DengXian"/>
          <w:sz w:val="28"/>
          <w:szCs w:val="28"/>
          <w:spacing w:val="-40"/>
        </w:rPr>
        <w:t xml:space="preserve"> </w:t>
      </w:r>
      <w:r>
        <w:rPr>
          <w:sz w:val="28"/>
          <w:szCs w:val="28"/>
          <w:spacing w:val="-2"/>
        </w:rPr>
        <w:t>ISO50001 </w:t>
      </w:r>
      <w:r>
        <w:rPr>
          <w:rFonts w:ascii="DengXian" w:hAnsi="DengXian" w:eastAsia="DengXian" w:cs="DengXian"/>
          <w:sz w:val="28"/>
          <w:szCs w:val="28"/>
          <w:spacing w:val="-2"/>
        </w:rPr>
        <w:t>能源管理体系、</w:t>
      </w:r>
      <w:r>
        <w:rPr>
          <w:rFonts w:ascii="DengXian" w:hAnsi="DengXian" w:eastAsia="DengXian" w:cs="DengXian"/>
          <w:sz w:val="28"/>
          <w:szCs w:val="28"/>
          <w:spacing w:val="-49"/>
        </w:rPr>
        <w:t xml:space="preserve"> </w:t>
      </w:r>
      <w:r>
        <w:rPr>
          <w:sz w:val="28"/>
          <w:szCs w:val="28"/>
          <w:spacing w:val="-2"/>
        </w:rPr>
        <w:t>ISO45001 </w:t>
      </w:r>
      <w:r>
        <w:rPr>
          <w:rFonts w:ascii="DengXian" w:hAnsi="DengXian" w:eastAsia="DengXian" w:cs="DengXian"/>
          <w:sz w:val="28"/>
          <w:szCs w:val="28"/>
          <w:spacing w:val="-2"/>
        </w:rPr>
        <w:t>职业健康安全</w:t>
      </w:r>
      <w:r>
        <w:rPr>
          <w:rFonts w:ascii="DengXian" w:hAnsi="DengXian" w:eastAsia="DengXian" w:cs="DengXian"/>
          <w:sz w:val="28"/>
          <w:szCs w:val="28"/>
          <w:spacing w:val="-1"/>
        </w:rPr>
        <w:t>管理体系；依法申领排污许可证，纳入全国排污许可证管理信息平</w:t>
      </w:r>
      <w:r>
        <w:rPr>
          <w:rFonts w:ascii="DengXian" w:hAnsi="DengXian" w:eastAsia="DengXian" w:cs="DengXian"/>
          <w:sz w:val="28"/>
          <w:szCs w:val="28"/>
          <w:spacing w:val="-6"/>
        </w:rPr>
        <w:t>台常态化监管。</w:t>
      </w:r>
    </w:p>
    <w:p>
      <w:pPr>
        <w:pStyle w:val="BodyText"/>
        <w:ind w:left="22" w:right="199" w:firstLine="566"/>
        <w:spacing w:before="3" w:line="363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每年委托具备 </w:t>
      </w:r>
      <w:r>
        <w:rPr>
          <w:sz w:val="28"/>
          <w:szCs w:val="28"/>
          <w:spacing w:val="-1"/>
        </w:rPr>
        <w:t>CMA </w:t>
      </w:r>
      <w:r>
        <w:rPr>
          <w:rFonts w:ascii="DengXian" w:hAnsi="DengXian" w:eastAsia="DengXian" w:cs="DengXian"/>
          <w:sz w:val="28"/>
          <w:szCs w:val="28"/>
          <w:spacing w:val="-1"/>
        </w:rPr>
        <w:t>资质第三方检测机构开展检测，出具厂界</w:t>
      </w:r>
      <w:r>
        <w:rPr>
          <w:rFonts w:ascii="DengXian" w:hAnsi="DengXian" w:eastAsia="DengXian" w:cs="DengXian"/>
          <w:sz w:val="28"/>
          <w:szCs w:val="28"/>
          <w:spacing w:val="-1"/>
        </w:rPr>
        <w:t>废气、噪声、厂区废弃物年度监测报告，所有排放指标均优于地方</w:t>
      </w:r>
      <w:r>
        <w:rPr>
          <w:rFonts w:ascii="DengXian" w:hAnsi="DengXian" w:eastAsia="DengXian" w:cs="DengXian"/>
          <w:sz w:val="28"/>
          <w:szCs w:val="28"/>
          <w:spacing w:val="-1"/>
        </w:rPr>
        <w:t>管控限值与国家现行环保法规要求。</w:t>
      </w:r>
    </w:p>
    <w:p>
      <w:pPr>
        <w:spacing w:line="363" w:lineRule="auto"/>
        <w:sectPr>
          <w:footerReference w:type="default" r:id="rId3"/>
          <w:pgSz w:w="11905" w:h="16841"/>
          <w:pgMar w:top="1421" w:right="1785" w:bottom="933" w:left="1785" w:header="0" w:footer="684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pStyle w:val="BodyText"/>
        <w:ind w:left="40"/>
        <w:spacing w:before="66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5" w:id="7"/>
      <w:bookmarkEnd w:id="7"/>
      <w:bookmarkStart w:name="bookmark6" w:id="8"/>
      <w:bookmarkEnd w:id="8"/>
      <w:r>
        <w:rPr>
          <w:sz w:val="31"/>
          <w:szCs w:val="31"/>
          <w:b/>
          <w:bCs/>
          <w:spacing w:val="5"/>
        </w:rPr>
        <w:t>1.2</w:t>
      </w:r>
      <w:r>
        <w:rPr>
          <w:sz w:val="31"/>
          <w:szCs w:val="31"/>
          <w:b/>
          <w:bCs/>
          <w:spacing w:val="31"/>
        </w:rPr>
        <w:t xml:space="preserve"> </w:t>
      </w:r>
      <w:r>
        <w:rPr>
          <w:rFonts w:ascii="DengXian" w:hAnsi="DengXian" w:eastAsia="DengXian" w:cs="DengXian"/>
          <w:sz w:val="31"/>
          <w:szCs w:val="31"/>
          <w:b/>
          <w:bCs/>
          <w:spacing w:val="5"/>
        </w:rPr>
        <w:t>生产污染物全过程管控披露</w:t>
      </w:r>
    </w:p>
    <w:p>
      <w:pPr>
        <w:pStyle w:val="BodyText"/>
        <w:spacing w:line="313" w:lineRule="auto"/>
        <w:rPr/>
      </w:pPr>
      <w:r/>
    </w:p>
    <w:p>
      <w:pPr>
        <w:pStyle w:val="BodyText"/>
        <w:ind w:left="70"/>
        <w:spacing w:before="102" w:line="225" w:lineRule="auto"/>
        <w:outlineLvl w:val="2"/>
        <w:rPr>
          <w:rFonts w:ascii="DengXian" w:hAnsi="DengXian" w:eastAsia="DengXian" w:cs="DengXian"/>
          <w:sz w:val="30"/>
          <w:szCs w:val="30"/>
        </w:rPr>
      </w:pPr>
      <w:bookmarkStart w:name="bookmark30" w:id="9"/>
      <w:bookmarkEnd w:id="9"/>
      <w:r>
        <w:rPr>
          <w:rFonts w:ascii="DengXian" w:hAnsi="DengXian" w:eastAsia="DengXian" w:cs="DengXian"/>
          <w:sz w:val="30"/>
          <w:szCs w:val="30"/>
          <w:b/>
          <w:bCs/>
          <w:spacing w:val="-10"/>
        </w:rPr>
        <w:t>（</w:t>
      </w:r>
      <w:r>
        <w:rPr>
          <w:sz w:val="30"/>
          <w:szCs w:val="30"/>
          <w:b/>
          <w:bCs/>
          <w:spacing w:val="-10"/>
        </w:rPr>
        <w:t>1</w:t>
      </w:r>
      <w:r>
        <w:rPr>
          <w:rFonts w:ascii="DengXian" w:hAnsi="DengXian" w:eastAsia="DengXian" w:cs="DengXian"/>
          <w:sz w:val="30"/>
          <w:szCs w:val="30"/>
          <w:b/>
          <w:bCs/>
          <w:spacing w:val="-10"/>
        </w:rPr>
        <w:t>）废气治理</w:t>
      </w:r>
    </w:p>
    <w:p>
      <w:pPr>
        <w:ind w:left="32" w:right="199" w:firstLine="549"/>
        <w:spacing w:before="221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产品打磨、绝缘构件加工、表面处理工序全部配套密闭集气装</w:t>
      </w:r>
      <w:r>
        <w:rPr>
          <w:rFonts w:ascii="DengXian" w:hAnsi="DengXian" w:eastAsia="DengXian" w:cs="DengXian"/>
          <w:sz w:val="28"/>
          <w:szCs w:val="28"/>
          <w:spacing w:val="-1"/>
        </w:rPr>
        <w:t>置与净化处理设备，实行集中化封闭式作业，杜绝无组织废气排</w:t>
      </w:r>
    </w:p>
    <w:p>
      <w:pPr>
        <w:ind w:left="23" w:right="199"/>
        <w:spacing w:before="2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放。治理设备按月运维检修，废气排放台账、运维记录、年度检测</w:t>
      </w:r>
      <w:r>
        <w:rPr>
          <w:rFonts w:ascii="DengXian" w:hAnsi="DengXian" w:eastAsia="DengXian" w:cs="DengXian"/>
          <w:sz w:val="28"/>
          <w:szCs w:val="28"/>
          <w:spacing w:val="-1"/>
        </w:rPr>
        <w:t>报告完整存档留存。</w:t>
      </w:r>
    </w:p>
    <w:p>
      <w:pPr>
        <w:pStyle w:val="BodyText"/>
        <w:ind w:left="70"/>
        <w:spacing w:before="288" w:line="225" w:lineRule="auto"/>
        <w:outlineLvl w:val="2"/>
        <w:rPr>
          <w:rFonts w:ascii="DengXian" w:hAnsi="DengXian" w:eastAsia="DengXian" w:cs="DengXian"/>
          <w:sz w:val="30"/>
          <w:szCs w:val="30"/>
        </w:rPr>
      </w:pPr>
      <w:bookmarkStart w:name="bookmark7" w:id="10"/>
      <w:bookmarkEnd w:id="10"/>
      <w:r>
        <w:rPr>
          <w:rFonts w:ascii="DengXian" w:hAnsi="DengXian" w:eastAsia="DengXian" w:cs="DengXian"/>
          <w:sz w:val="30"/>
          <w:szCs w:val="30"/>
          <w:b/>
          <w:bCs/>
          <w:spacing w:val="-6"/>
        </w:rPr>
        <w:t>（</w:t>
      </w:r>
      <w:r>
        <w:rPr>
          <w:sz w:val="30"/>
          <w:szCs w:val="30"/>
          <w:b/>
          <w:bCs/>
          <w:spacing w:val="-6"/>
        </w:rPr>
        <w:t>2</w:t>
      </w:r>
      <w:r>
        <w:rPr>
          <w:rFonts w:ascii="DengXian" w:hAnsi="DengXian" w:eastAsia="DengXian" w:cs="DengXian"/>
          <w:sz w:val="30"/>
          <w:szCs w:val="30"/>
          <w:b/>
          <w:bCs/>
          <w:spacing w:val="-6"/>
        </w:rPr>
        <w:t>）固体废弃物分类管控</w:t>
      </w:r>
    </w:p>
    <w:p>
      <w:pPr>
        <w:ind w:left="23" w:right="282" w:firstLine="566"/>
        <w:spacing w:before="223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一般固废：铜材、铝材、绝缘型材等生产边角废料分类归集，</w:t>
      </w:r>
      <w:r>
        <w:rPr>
          <w:rFonts w:ascii="DengXian" w:hAnsi="DengXian" w:eastAsia="DengXian" w:cs="DengXian"/>
          <w:sz w:val="28"/>
          <w:szCs w:val="28"/>
          <w:spacing w:val="-3"/>
        </w:rPr>
        <w:t>定向资源化回收再利用。</w:t>
      </w:r>
    </w:p>
    <w:p>
      <w:pPr>
        <w:ind w:left="22" w:right="199" w:firstLine="562"/>
        <w:spacing w:before="2" w:line="362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危险固废：设备废旧润滑油、检测废弃耗材、试验废旧辅料单</w:t>
      </w:r>
      <w:r>
        <w:rPr>
          <w:rFonts w:ascii="DengXian" w:hAnsi="DengXian" w:eastAsia="DengXian" w:cs="DengXian"/>
          <w:sz w:val="28"/>
          <w:szCs w:val="28"/>
          <w:spacing w:val="-1"/>
        </w:rPr>
        <w:t>独封存管理；委托具备危废处置资质单位定期清运转移，严格执行</w:t>
      </w:r>
      <w:r>
        <w:rPr>
          <w:rFonts w:ascii="DengXian" w:hAnsi="DengXian" w:eastAsia="DengXian" w:cs="DengXian"/>
          <w:sz w:val="28"/>
          <w:szCs w:val="28"/>
          <w:spacing w:val="-2"/>
        </w:rPr>
        <w:t>危废转移联单制度，流转台账闭环可追溯。</w:t>
      </w:r>
    </w:p>
    <w:p>
      <w:pPr>
        <w:pStyle w:val="BodyText"/>
        <w:ind w:left="70"/>
        <w:spacing w:before="291" w:line="225" w:lineRule="auto"/>
        <w:outlineLvl w:val="2"/>
        <w:rPr>
          <w:rFonts w:ascii="DengXian" w:hAnsi="DengXian" w:eastAsia="DengXian" w:cs="DengXian"/>
          <w:sz w:val="30"/>
          <w:szCs w:val="30"/>
        </w:rPr>
      </w:pPr>
      <w:bookmarkStart w:name="bookmark8" w:id="11"/>
      <w:bookmarkEnd w:id="11"/>
      <w:r>
        <w:rPr>
          <w:rFonts w:ascii="DengXian" w:hAnsi="DengXian" w:eastAsia="DengXian" w:cs="DengXian"/>
          <w:sz w:val="30"/>
          <w:szCs w:val="30"/>
          <w:b/>
          <w:bCs/>
          <w:spacing w:val="-6"/>
        </w:rPr>
        <w:t>（</w:t>
      </w:r>
      <w:r>
        <w:rPr>
          <w:sz w:val="30"/>
          <w:szCs w:val="30"/>
          <w:b/>
          <w:bCs/>
          <w:spacing w:val="-6"/>
        </w:rPr>
        <w:t>3</w:t>
      </w:r>
      <w:r>
        <w:rPr>
          <w:rFonts w:ascii="DengXian" w:hAnsi="DengXian" w:eastAsia="DengXian" w:cs="DengXian"/>
          <w:sz w:val="30"/>
          <w:szCs w:val="30"/>
          <w:b/>
          <w:bCs/>
          <w:spacing w:val="-6"/>
        </w:rPr>
        <w:t>）水资源与噪声管控</w:t>
      </w:r>
    </w:p>
    <w:p>
      <w:pPr>
        <w:ind w:left="28" w:right="199" w:firstLine="561"/>
        <w:spacing w:before="226" w:line="363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生产冷却水内部循环复用，削减一次性取水消耗；生产车间加</w:t>
      </w:r>
      <w:r>
        <w:rPr>
          <w:rFonts w:ascii="DengXian" w:hAnsi="DengXian" w:eastAsia="DengXian" w:cs="DengXian"/>
          <w:sz w:val="28"/>
          <w:szCs w:val="28"/>
          <w:spacing w:val="-1"/>
        </w:rPr>
        <w:t>装隔音降噪结构，高耗能加工设备定期维保减震，历年厂界噪声监</w:t>
      </w:r>
      <w:r>
        <w:rPr>
          <w:rFonts w:ascii="DengXian" w:hAnsi="DengXian" w:eastAsia="DengXian" w:cs="DengXian"/>
          <w:sz w:val="28"/>
          <w:szCs w:val="28"/>
          <w:spacing w:val="-2"/>
        </w:rPr>
        <w:t>测数据全部达标。</w:t>
      </w:r>
    </w:p>
    <w:p>
      <w:pPr>
        <w:pStyle w:val="BodyText"/>
        <w:ind w:left="40"/>
        <w:spacing w:before="312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9" w:id="12"/>
      <w:bookmarkEnd w:id="12"/>
      <w:r>
        <w:rPr>
          <w:sz w:val="31"/>
          <w:szCs w:val="31"/>
          <w:b/>
          <w:bCs/>
          <w:spacing w:val="6"/>
        </w:rPr>
        <w:t>1.3 </w:t>
      </w:r>
      <w:r>
        <w:rPr>
          <w:rFonts w:ascii="DengXian" w:hAnsi="DengXian" w:eastAsia="DengXian" w:cs="DengXian"/>
          <w:sz w:val="31"/>
          <w:szCs w:val="31"/>
          <w:b/>
          <w:bCs/>
          <w:spacing w:val="6"/>
        </w:rPr>
        <w:t>节能低碳与绿色生产实施披露</w:t>
      </w:r>
    </w:p>
    <w:p>
      <w:pPr>
        <w:ind w:left="26" w:right="151" w:firstLine="564"/>
        <w:spacing w:before="233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节能改造：厂区全域照明更换为</w:t>
      </w:r>
      <w:r>
        <w:rPr>
          <w:rFonts w:ascii="DengXian" w:hAnsi="DengXian" w:eastAsia="DengXian" w:cs="DengXian"/>
          <w:sz w:val="28"/>
          <w:szCs w:val="28"/>
          <w:spacing w:val="30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LED 节能光源；空压机、老化</w:t>
      </w:r>
      <w:r>
        <w:rPr>
          <w:rFonts w:ascii="DengXian" w:hAnsi="DengXian" w:eastAsia="DengXian" w:cs="DengXian"/>
          <w:sz w:val="28"/>
          <w:szCs w:val="28"/>
          <w:spacing w:val="-1"/>
        </w:rPr>
        <w:t>试验台、数控加工机床推行错峰集中排班作业，缩减设备空载待机</w:t>
      </w:r>
      <w:r>
        <w:rPr>
          <w:rFonts w:ascii="DengXian" w:hAnsi="DengXian" w:eastAsia="DengXian" w:cs="DengXian"/>
          <w:sz w:val="28"/>
          <w:szCs w:val="28"/>
          <w:spacing w:val="-3"/>
        </w:rPr>
        <w:t>能耗，逐年压降单位成品耗电量。</w:t>
      </w:r>
    </w:p>
    <w:p>
      <w:pPr>
        <w:ind w:left="24" w:right="199" w:firstLine="559"/>
        <w:spacing w:before="2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绿色采购：上游原材料优先选用无卤环保绝缘材质、轻量化复</w:t>
      </w:r>
      <w:r>
        <w:rPr>
          <w:rFonts w:ascii="DengXian" w:hAnsi="DengXian" w:eastAsia="DengXian" w:cs="DengXian"/>
          <w:sz w:val="28"/>
          <w:szCs w:val="28"/>
          <w:spacing w:val="-1"/>
        </w:rPr>
        <w:t>合环保配件，优化产品结构工艺，降低原材料损耗率。</w:t>
      </w:r>
    </w:p>
    <w:p>
      <w:pPr>
        <w:spacing w:line="364" w:lineRule="auto"/>
        <w:sectPr>
          <w:footerReference w:type="default" r:id="rId4"/>
          <w:pgSz w:w="11905" w:h="16841"/>
          <w:pgMar w:top="1424" w:right="1785" w:bottom="933" w:left="1785" w:header="0" w:footer="682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ind w:left="22" w:right="199" w:firstLine="558"/>
        <w:spacing w:before="58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产线与产品低碳升级：依托自动化智能生产线技改升级，精简</w:t>
      </w:r>
      <w:r>
        <w:rPr>
          <w:rFonts w:ascii="DengXian" w:hAnsi="DengXian" w:eastAsia="DengXian" w:cs="DengXian"/>
          <w:sz w:val="28"/>
          <w:szCs w:val="28"/>
          <w:spacing w:val="-1"/>
        </w:rPr>
        <w:t>工序流转环节，降低制造端综合能耗；同步研发低损耗新一代配网</w:t>
      </w:r>
      <w:r>
        <w:rPr>
          <w:rFonts w:ascii="DengXian" w:hAnsi="DengXian" w:eastAsia="DengXian" w:cs="DengXian"/>
          <w:sz w:val="28"/>
          <w:szCs w:val="28"/>
          <w:spacing w:val="-1"/>
        </w:rPr>
        <w:t>设备，从终端产品层面助力电网系统线路损耗优化，赋能电力行业</w:t>
      </w:r>
      <w:r>
        <w:rPr>
          <w:rFonts w:ascii="DengXian" w:hAnsi="DengXian" w:eastAsia="DengXian" w:cs="DengXian"/>
          <w:sz w:val="28"/>
          <w:szCs w:val="28"/>
          <w:spacing w:val="-1"/>
        </w:rPr>
        <w:t>低碳转型。</w:t>
      </w:r>
    </w:p>
    <w:p>
      <w:pPr>
        <w:ind w:left="19" w:right="199" w:firstLine="570"/>
        <w:spacing w:line="363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能耗管控机制： 设立年度能耗考核指标、阶段性碳减排目标，</w:t>
      </w:r>
      <w:r>
        <w:rPr>
          <w:rFonts w:ascii="DengXian" w:hAnsi="DengXian" w:eastAsia="DengXian" w:cs="DengXian"/>
          <w:sz w:val="28"/>
          <w:szCs w:val="28"/>
        </w:rPr>
        <w:t>依托能源管理体系按月统计能耗数据，依靠工</w:t>
      </w:r>
      <w:r>
        <w:rPr>
          <w:rFonts w:ascii="DengXian" w:hAnsi="DengXian" w:eastAsia="DengXian" w:cs="DengXian"/>
          <w:sz w:val="28"/>
          <w:szCs w:val="28"/>
          <w:spacing w:val="-1"/>
        </w:rPr>
        <w:t>艺技改持续提升厂区</w:t>
      </w:r>
      <w:r>
        <w:rPr>
          <w:rFonts w:ascii="DengXian" w:hAnsi="DengXian" w:eastAsia="DengXian" w:cs="DengXian"/>
          <w:sz w:val="28"/>
          <w:szCs w:val="28"/>
          <w:spacing w:val="-1"/>
        </w:rPr>
        <w:t>整体能源利用效率。</w:t>
      </w:r>
    </w:p>
    <w:p>
      <w:pPr>
        <w:pStyle w:val="BodyText"/>
        <w:spacing w:line="254" w:lineRule="auto"/>
        <w:rPr/>
      </w:pPr>
      <w:r/>
    </w:p>
    <w:p>
      <w:pPr>
        <w:pStyle w:val="BodyText"/>
        <w:ind w:left="25"/>
        <w:spacing w:before="122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10" w:id="13"/>
      <w:bookmarkEnd w:id="13"/>
      <w:bookmarkStart w:name="bookmark11" w:id="14"/>
      <w:bookmarkEnd w:id="14"/>
      <w:r>
        <w:rPr>
          <w:rFonts w:ascii="DengXian" w:hAnsi="DengXian" w:eastAsia="DengXian" w:cs="DengXian"/>
          <w:sz w:val="36"/>
          <w:szCs w:val="36"/>
          <w:b/>
          <w:bCs/>
          <w:spacing w:val="-1"/>
        </w:rPr>
        <w:t>第二部分 </w:t>
      </w:r>
      <w:r>
        <w:rPr>
          <w:sz w:val="36"/>
          <w:szCs w:val="36"/>
          <w:b/>
          <w:bCs/>
          <w:spacing w:val="-1"/>
        </w:rPr>
        <w:t>S </w:t>
      </w:r>
      <w:r>
        <w:rPr>
          <w:rFonts w:ascii="DengXian" w:hAnsi="DengXian" w:eastAsia="DengXian" w:cs="DengXian"/>
          <w:sz w:val="36"/>
          <w:szCs w:val="36"/>
          <w:b/>
          <w:bCs/>
          <w:spacing w:val="-1"/>
        </w:rPr>
        <w:t>社会责任维度信息披露</w:t>
      </w:r>
    </w:p>
    <w:p>
      <w:pPr>
        <w:pStyle w:val="BodyText"/>
        <w:spacing w:line="340" w:lineRule="auto"/>
        <w:rPr/>
      </w:pPr>
      <w:r/>
    </w:p>
    <w:p>
      <w:pPr>
        <w:pStyle w:val="BodyText"/>
        <w:ind w:left="22"/>
        <w:spacing w:before="105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31" w:id="15"/>
      <w:bookmarkEnd w:id="15"/>
      <w:r>
        <w:rPr>
          <w:sz w:val="31"/>
          <w:szCs w:val="31"/>
          <w:b/>
          <w:bCs/>
          <w:spacing w:val="6"/>
        </w:rPr>
        <w:t>2.1</w:t>
      </w:r>
      <w:r>
        <w:rPr>
          <w:sz w:val="31"/>
          <w:szCs w:val="31"/>
          <w:b/>
          <w:bCs/>
          <w:spacing w:val="36"/>
          <w:w w:val="101"/>
        </w:rPr>
        <w:t xml:space="preserve"> </w:t>
      </w:r>
      <w:r>
        <w:rPr>
          <w:rFonts w:ascii="DengXian" w:hAnsi="DengXian" w:eastAsia="DengXian" w:cs="DengXian"/>
          <w:sz w:val="31"/>
          <w:szCs w:val="31"/>
          <w:b/>
          <w:bCs/>
          <w:spacing w:val="6"/>
        </w:rPr>
        <w:t>员工权益保障与职业健康披露</w:t>
      </w:r>
    </w:p>
    <w:p>
      <w:pPr>
        <w:ind w:left="26" w:right="58" w:firstLine="557"/>
        <w:spacing w:before="228" w:line="361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6"/>
        </w:rPr>
        <w:t>合规用工：严格遵循《劳动法》，全体在岗人员依法签订劳动合</w:t>
      </w:r>
      <w:r>
        <w:rPr>
          <w:rFonts w:ascii="DengXian" w:hAnsi="DengXian" w:eastAsia="DengXian" w:cs="DengXian"/>
          <w:sz w:val="28"/>
          <w:szCs w:val="28"/>
          <w:spacing w:val="-1"/>
        </w:rPr>
        <w:t>同、足额缴纳社会保险；建立完善薪酬晋级、节日福利、年度技能</w:t>
      </w:r>
      <w:r>
        <w:rPr>
          <w:rFonts w:ascii="DengXian" w:hAnsi="DengXian" w:eastAsia="DengXian" w:cs="DengXian"/>
          <w:sz w:val="28"/>
          <w:szCs w:val="28"/>
          <w:spacing w:val="-5"/>
        </w:rPr>
        <w:t>培训管理制度。</w:t>
      </w:r>
    </w:p>
    <w:p>
      <w:pPr>
        <w:ind w:left="23" w:right="199" w:firstLine="564"/>
        <w:spacing w:before="5" w:line="359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退休返聘管理：</w:t>
      </w:r>
      <w:r>
        <w:rPr>
          <w:rFonts w:ascii="DengXian" w:hAnsi="DengXian" w:eastAsia="DengXian" w:cs="DengXian"/>
          <w:sz w:val="28"/>
          <w:szCs w:val="28"/>
          <w:spacing w:val="20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4"/>
        </w:rPr>
        <w:t>一线生产、高压试验、户外外勤等</w:t>
      </w:r>
      <w:r>
        <w:rPr>
          <w:rFonts w:ascii="DengXian" w:hAnsi="DengXian" w:eastAsia="DengXian" w:cs="DengXian"/>
          <w:sz w:val="28"/>
          <w:szCs w:val="28"/>
          <w:spacing w:val="-5"/>
        </w:rPr>
        <w:t>高风险岗位</w:t>
      </w:r>
      <w:r>
        <w:rPr>
          <w:rFonts w:ascii="DengXian" w:hAnsi="DengXian" w:eastAsia="DengXian" w:cs="DengXian"/>
          <w:sz w:val="28"/>
          <w:szCs w:val="28"/>
          <w:spacing w:val="-3"/>
        </w:rPr>
        <w:t>人员达到法定退休年龄不再返聘； 技术顾问、工艺指导特聘返聘人</w:t>
      </w:r>
      <w:r>
        <w:rPr>
          <w:rFonts w:ascii="DengXian" w:hAnsi="DengXian" w:eastAsia="DengXian" w:cs="DengXian"/>
          <w:sz w:val="28"/>
          <w:szCs w:val="28"/>
          <w:spacing w:val="-1"/>
        </w:rPr>
        <w:t>员设置年龄管控红线，执行一年一签劳务协议、每年提交完整体检</w:t>
      </w:r>
      <w:r>
        <w:rPr>
          <w:rFonts w:ascii="DengXian" w:hAnsi="DengXian" w:eastAsia="DengXian" w:cs="DengXian"/>
          <w:sz w:val="28"/>
          <w:szCs w:val="28"/>
          <w:spacing w:val="-1"/>
        </w:rPr>
        <w:t>报告的准入要求。</w:t>
      </w:r>
    </w:p>
    <w:p>
      <w:pPr>
        <w:ind w:left="23" w:right="199" w:firstLine="561"/>
        <w:spacing w:before="1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职业健康与安全防护：定期组织车间安全生产演练，为一线岗</w:t>
      </w:r>
      <w:r>
        <w:rPr>
          <w:rFonts w:ascii="DengXian" w:hAnsi="DengXian" w:eastAsia="DengXian" w:cs="DengXian"/>
          <w:sz w:val="28"/>
          <w:szCs w:val="28"/>
          <w:spacing w:val="-3"/>
        </w:rPr>
        <w:t>位配齐全套劳保防护用品； 每年组织全员职业健康专项体检，全方</w:t>
      </w:r>
      <w:r>
        <w:rPr>
          <w:rFonts w:ascii="DengXian" w:hAnsi="DengXian" w:eastAsia="DengXian" w:cs="DengXian"/>
          <w:sz w:val="28"/>
          <w:szCs w:val="28"/>
          <w:spacing w:val="-3"/>
        </w:rPr>
        <w:t>位规避岗位职业病风险。</w:t>
      </w:r>
    </w:p>
    <w:p>
      <w:pPr>
        <w:ind w:left="26" w:right="199" w:firstLine="556"/>
        <w:spacing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3"/>
        </w:rPr>
        <w:t>人才梯队建设： 搭建阶梯式人才培养体系，稳固研发</w:t>
      </w:r>
      <w:r>
        <w:rPr>
          <w:rFonts w:ascii="DengXian" w:hAnsi="DengXian" w:eastAsia="DengXian" w:cs="DengXian"/>
          <w:sz w:val="28"/>
          <w:szCs w:val="28"/>
          <w:spacing w:val="-4"/>
        </w:rPr>
        <w:t>技术团队</w:t>
      </w:r>
      <w:r>
        <w:rPr>
          <w:rFonts w:ascii="DengXian" w:hAnsi="DengXian" w:eastAsia="DengXian" w:cs="DengXian"/>
          <w:sz w:val="28"/>
          <w:szCs w:val="28"/>
          <w:spacing w:val="-2"/>
        </w:rPr>
        <w:t>梯队，完善技术人员职称评定、技能深造激励机制。</w:t>
      </w:r>
    </w:p>
    <w:p>
      <w:pPr>
        <w:pStyle w:val="BodyText"/>
        <w:ind w:left="22"/>
        <w:spacing w:before="313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12" w:id="16"/>
      <w:bookmarkEnd w:id="16"/>
      <w:r>
        <w:rPr>
          <w:sz w:val="31"/>
          <w:szCs w:val="31"/>
          <w:b/>
          <w:bCs/>
          <w:spacing w:val="7"/>
        </w:rPr>
        <w:t>2.2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上下游供应链可持续管理披露</w:t>
      </w:r>
    </w:p>
    <w:p>
      <w:pPr>
        <w:spacing w:line="229" w:lineRule="auto"/>
        <w:sectPr>
          <w:footerReference w:type="default" r:id="rId5"/>
          <w:pgSz w:w="11905" w:h="16841"/>
          <w:pgMar w:top="1425" w:right="1785" w:bottom="933" w:left="1785" w:header="0" w:footer="684" w:gutter="0"/>
        </w:sectPr>
        <w:rPr>
          <w:rFonts w:ascii="DengXian" w:hAnsi="DengXian" w:eastAsia="DengXian" w:cs="DengXian"/>
          <w:sz w:val="31"/>
          <w:szCs w:val="31"/>
        </w:rPr>
      </w:pPr>
    </w:p>
    <w:p>
      <w:pPr>
        <w:ind w:left="24" w:right="199" w:firstLine="563"/>
        <w:spacing w:before="58" w:line="362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建立上游原材料、外协外购部件供应商准入评价考核体系，将</w:t>
      </w:r>
      <w:r>
        <w:rPr>
          <w:rFonts w:ascii="DengXian" w:hAnsi="DengXian" w:eastAsia="DengXian" w:cs="DengXian"/>
          <w:sz w:val="28"/>
          <w:szCs w:val="28"/>
          <w:spacing w:val="-1"/>
        </w:rPr>
        <w:t>合作方环保资质、产能合规性、质量管控水平、社会责任履约能力</w:t>
      </w:r>
      <w:r>
        <w:rPr>
          <w:rFonts w:ascii="DengXian" w:hAnsi="DengXian" w:eastAsia="DengXian" w:cs="DengXian"/>
          <w:sz w:val="28"/>
          <w:szCs w:val="28"/>
          <w:spacing w:val="-2"/>
        </w:rPr>
        <w:t>纳入年度考核硬性门槛，逐年淘汰高污染、内控能力薄弱供应商。</w:t>
      </w:r>
      <w:r>
        <w:rPr>
          <w:rFonts w:ascii="DengXian" w:hAnsi="DengXian" w:eastAsia="DengXian" w:cs="DengXian"/>
          <w:sz w:val="28"/>
          <w:szCs w:val="28"/>
          <w:spacing w:val="-2"/>
        </w:rPr>
        <w:t>与核心长期供应商签订绿色供货、廉洁供货补充协议，打造稳定、</w:t>
      </w:r>
      <w:r>
        <w:rPr>
          <w:rFonts w:ascii="DengXian" w:hAnsi="DengXian" w:eastAsia="DengXian" w:cs="DengXian"/>
          <w:sz w:val="28"/>
          <w:szCs w:val="28"/>
          <w:spacing w:val="-1"/>
        </w:rPr>
        <w:t>合规、可持续的产业链合作生态圈。</w:t>
      </w:r>
    </w:p>
    <w:p>
      <w:pPr>
        <w:pStyle w:val="BodyText"/>
        <w:ind w:left="22"/>
        <w:spacing w:before="309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13" w:id="17"/>
      <w:bookmarkEnd w:id="17"/>
      <w:r>
        <w:rPr>
          <w:sz w:val="31"/>
          <w:szCs w:val="31"/>
          <w:b/>
          <w:bCs/>
          <w:spacing w:val="7"/>
        </w:rPr>
        <w:t>2.3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产品质量履约与客户责任披露</w:t>
      </w:r>
    </w:p>
    <w:p>
      <w:pPr>
        <w:ind w:left="30" w:right="176" w:firstLine="553"/>
        <w:spacing w:before="233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5"/>
        </w:rPr>
        <w:t>公司所有配电设备严格执行 GB</w:t>
      </w:r>
      <w:r>
        <w:rPr>
          <w:rFonts w:ascii="DengXian" w:hAnsi="DengXian" w:eastAsia="DengXian" w:cs="DengXian"/>
          <w:sz w:val="28"/>
          <w:szCs w:val="28"/>
          <w:spacing w:val="38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5"/>
        </w:rPr>
        <w:t>国家标准、</w:t>
      </w:r>
      <w:r>
        <w:rPr>
          <w:rFonts w:ascii="DengXian" w:hAnsi="DengXian" w:eastAsia="DengXian" w:cs="DengXian"/>
          <w:sz w:val="28"/>
          <w:szCs w:val="28"/>
          <w:spacing w:val="-50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5"/>
        </w:rPr>
        <w:t>DL</w:t>
      </w:r>
      <w:r>
        <w:rPr>
          <w:rFonts w:ascii="DengXian" w:hAnsi="DengXian" w:eastAsia="DengXian" w:cs="DengXian"/>
          <w:sz w:val="28"/>
          <w:szCs w:val="28"/>
          <w:spacing w:val="33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5"/>
        </w:rPr>
        <w:t>电力行业标准、</w:t>
      </w:r>
      <w:r>
        <w:rPr>
          <w:rFonts w:ascii="DengXian" w:hAnsi="DengXian" w:eastAsia="DengXian" w:cs="DengXian"/>
          <w:sz w:val="28"/>
          <w:szCs w:val="28"/>
          <w:spacing w:val="-2"/>
        </w:rPr>
        <w:t>国网 Q/GDW 技术规约，产品全部通过权威机构型式试验检测，</w:t>
      </w:r>
      <w:r>
        <w:rPr>
          <w:rFonts w:ascii="DengXian" w:hAnsi="DengXian" w:eastAsia="DengXian" w:cs="DengXian"/>
          <w:sz w:val="28"/>
          <w:szCs w:val="28"/>
          <w:spacing w:val="-30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出</w:t>
      </w:r>
      <w:r>
        <w:rPr>
          <w:rFonts w:ascii="DengXian" w:hAnsi="DengXian" w:eastAsia="DengXian" w:cs="DengXian"/>
          <w:sz w:val="28"/>
          <w:szCs w:val="28"/>
          <w:spacing w:val="-4"/>
        </w:rPr>
        <w:t>厂落实逐台全项质检流程。</w:t>
      </w:r>
    </w:p>
    <w:p>
      <w:pPr>
        <w:ind w:left="24" w:right="197" w:firstLine="3"/>
        <w:spacing w:before="1" w:line="363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布局全国售后服务体系，严格履行供货质保约定，终身为合作客户</w:t>
      </w:r>
      <w:r>
        <w:rPr>
          <w:rFonts w:ascii="DengXian" w:hAnsi="DengXian" w:eastAsia="DengXian" w:cs="DengXian"/>
          <w:sz w:val="28"/>
          <w:szCs w:val="28"/>
          <w:spacing w:val="-1"/>
        </w:rPr>
        <w:t>提供设备安装调试、故障排查、运维技术指导服务，保障电网物资</w:t>
      </w:r>
      <w:r>
        <w:rPr>
          <w:rFonts w:ascii="DengXian" w:hAnsi="DengXian" w:eastAsia="DengXian" w:cs="DengXian"/>
          <w:sz w:val="28"/>
          <w:szCs w:val="28"/>
          <w:spacing w:val="-1"/>
        </w:rPr>
        <w:t>长期安全稳定运行。</w:t>
      </w:r>
    </w:p>
    <w:p>
      <w:pPr>
        <w:pStyle w:val="BodyText"/>
        <w:ind w:left="22"/>
        <w:spacing w:before="310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14" w:id="18"/>
      <w:bookmarkEnd w:id="18"/>
      <w:r>
        <w:rPr>
          <w:sz w:val="31"/>
          <w:szCs w:val="31"/>
          <w:b/>
          <w:bCs/>
          <w:spacing w:val="7"/>
        </w:rPr>
        <w:t>2.4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属地社会公共责任披露</w:t>
      </w:r>
    </w:p>
    <w:p>
      <w:pPr>
        <w:ind w:left="31" w:right="199" w:firstLine="547"/>
        <w:spacing w:before="237" w:line="362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企业扎根丹东属地经营，优先吸纳本地劳动力就业；</w:t>
      </w:r>
      <w:r>
        <w:rPr>
          <w:rFonts w:ascii="DengXian" w:hAnsi="DengXian" w:eastAsia="DengXian" w:cs="DengXian"/>
          <w:sz w:val="28"/>
          <w:szCs w:val="28"/>
          <w:spacing w:val="24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4"/>
        </w:rPr>
        <w:t>主动配合</w:t>
      </w:r>
      <w:r>
        <w:rPr>
          <w:rFonts w:ascii="DengXian" w:hAnsi="DengXian" w:eastAsia="DengXian" w:cs="DengXian"/>
          <w:sz w:val="28"/>
          <w:szCs w:val="28"/>
          <w:spacing w:val="-1"/>
        </w:rPr>
        <w:t>区域生态环保整治、安全生产专项提升行动，积极参与地方小微企</w:t>
      </w:r>
      <w:r>
        <w:rPr>
          <w:rFonts w:ascii="DengXian" w:hAnsi="DengXian" w:eastAsia="DengXian" w:cs="DengXian"/>
          <w:sz w:val="28"/>
          <w:szCs w:val="28"/>
          <w:spacing w:val="-1"/>
        </w:rPr>
        <w:t>业质量提升、绿色制造升级政策落地，切实履行民营企业属地社会</w:t>
      </w:r>
      <w:r>
        <w:rPr>
          <w:rFonts w:ascii="DengXian" w:hAnsi="DengXian" w:eastAsia="DengXian" w:cs="DengXian"/>
          <w:sz w:val="28"/>
          <w:szCs w:val="28"/>
          <w:spacing w:val="-12"/>
        </w:rPr>
        <w:t>责任。</w:t>
      </w:r>
    </w:p>
    <w:p>
      <w:pPr>
        <w:pStyle w:val="BodyText"/>
        <w:spacing w:line="255" w:lineRule="auto"/>
        <w:rPr/>
      </w:pPr>
      <w:r/>
    </w:p>
    <w:p>
      <w:pPr>
        <w:pStyle w:val="BodyText"/>
        <w:ind w:left="25"/>
        <w:spacing w:before="122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15" w:id="19"/>
      <w:bookmarkEnd w:id="19"/>
      <w:bookmarkStart w:name="bookmark16" w:id="20"/>
      <w:bookmarkEnd w:id="20"/>
      <w:r>
        <w:rPr>
          <w:rFonts w:ascii="DengXian" w:hAnsi="DengXian" w:eastAsia="DengXian" w:cs="DengXian"/>
          <w:sz w:val="36"/>
          <w:szCs w:val="36"/>
          <w:b/>
          <w:bCs/>
          <w:spacing w:val="-1"/>
        </w:rPr>
        <w:t>第三部分 </w:t>
      </w:r>
      <w:r>
        <w:rPr>
          <w:sz w:val="36"/>
          <w:szCs w:val="36"/>
          <w:b/>
          <w:bCs/>
          <w:spacing w:val="-1"/>
        </w:rPr>
        <w:t>G </w:t>
      </w:r>
      <w:r>
        <w:rPr>
          <w:rFonts w:ascii="DengXian" w:hAnsi="DengXian" w:eastAsia="DengXian" w:cs="DengXian"/>
          <w:sz w:val="36"/>
          <w:szCs w:val="36"/>
          <w:b/>
          <w:bCs/>
          <w:spacing w:val="-1"/>
        </w:rPr>
        <w:t>公司治理维度信息披露</w:t>
      </w:r>
    </w:p>
    <w:p>
      <w:pPr>
        <w:pStyle w:val="BodyText"/>
        <w:spacing w:line="337" w:lineRule="auto"/>
        <w:rPr/>
      </w:pPr>
      <w:r/>
    </w:p>
    <w:p>
      <w:pPr>
        <w:pStyle w:val="BodyText"/>
        <w:ind w:left="27"/>
        <w:spacing w:before="106" w:line="230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32" w:id="21"/>
      <w:bookmarkEnd w:id="21"/>
      <w:r>
        <w:rPr>
          <w:sz w:val="31"/>
          <w:szCs w:val="31"/>
          <w:b/>
          <w:bCs/>
          <w:spacing w:val="7"/>
        </w:rPr>
        <w:t>3.1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组织架构与</w:t>
      </w:r>
      <w:r>
        <w:rPr>
          <w:rFonts w:ascii="DengXian" w:hAnsi="DengXian" w:eastAsia="DengXian" w:cs="DengXian"/>
          <w:sz w:val="31"/>
          <w:szCs w:val="31"/>
          <w:b/>
          <w:bCs/>
          <w:spacing w:val="27"/>
        </w:rPr>
        <w:t xml:space="preserve"> </w:t>
      </w:r>
      <w:r>
        <w:rPr>
          <w:sz w:val="31"/>
          <w:szCs w:val="31"/>
          <w:b/>
          <w:bCs/>
        </w:rPr>
        <w:t>ESG</w:t>
      </w:r>
      <w:r>
        <w:rPr>
          <w:sz w:val="31"/>
          <w:szCs w:val="31"/>
          <w:b/>
          <w:bCs/>
          <w:spacing w:val="7"/>
        </w:rPr>
        <w:t xml:space="preserve">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专项治理架构</w:t>
      </w:r>
    </w:p>
    <w:p>
      <w:pPr>
        <w:ind w:left="33" w:right="130" w:firstLine="551"/>
        <w:spacing w:before="229" w:line="364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搭建总经理统筹牵头的三层治理组织架构，成立内部</w:t>
      </w:r>
      <w:r>
        <w:rPr>
          <w:rFonts w:ascii="DengXian" w:hAnsi="DengXian" w:eastAsia="DengXian" w:cs="DengXian"/>
          <w:sz w:val="28"/>
          <w:szCs w:val="28"/>
          <w:spacing w:val="26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ESG</w:t>
      </w:r>
      <w:r>
        <w:rPr>
          <w:rFonts w:ascii="DengXian" w:hAnsi="DengXian" w:eastAsia="DengXian" w:cs="DengXian"/>
          <w:sz w:val="28"/>
          <w:szCs w:val="28"/>
          <w:spacing w:val="19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专项</w:t>
      </w:r>
      <w:r>
        <w:rPr>
          <w:rFonts w:ascii="DengXian" w:hAnsi="DengXian" w:eastAsia="DengXian" w:cs="DengXian"/>
          <w:sz w:val="28"/>
          <w:szCs w:val="28"/>
          <w:spacing w:val="-1"/>
        </w:rPr>
        <w:t>工作小组，统筹环境管控、安全生产、经营风控、可持续发展战略</w:t>
      </w:r>
      <w:r>
        <w:rPr>
          <w:rFonts w:ascii="DengXian" w:hAnsi="DengXian" w:eastAsia="DengXian" w:cs="DengXian"/>
          <w:sz w:val="28"/>
          <w:szCs w:val="28"/>
          <w:spacing w:val="-4"/>
        </w:rPr>
        <w:t>落地执行。</w:t>
      </w:r>
    </w:p>
    <w:p>
      <w:pPr>
        <w:spacing w:line="364" w:lineRule="auto"/>
        <w:sectPr>
          <w:footerReference w:type="default" r:id="rId6"/>
          <w:pgSz w:w="11905" w:h="16841"/>
          <w:pgMar w:top="1425" w:right="1785" w:bottom="933" w:left="1785" w:header="0" w:footer="684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ind w:left="26" w:right="199" w:firstLine="4"/>
        <w:spacing w:before="57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生产部、研发部、质检部、人事行政部、财务部权责划分清晰，</w:t>
      </w:r>
      <w:r>
        <w:rPr>
          <w:rFonts w:ascii="DengXian" w:hAnsi="DengXian" w:eastAsia="DengXian" w:cs="DengXian"/>
          <w:sz w:val="28"/>
          <w:szCs w:val="28"/>
          <w:spacing w:val="-39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内</w:t>
      </w:r>
      <w:r>
        <w:rPr>
          <w:rFonts w:ascii="DengXian" w:hAnsi="DengXian" w:eastAsia="DengXian" w:cs="DengXian"/>
          <w:sz w:val="28"/>
          <w:szCs w:val="28"/>
          <w:spacing w:val="-2"/>
        </w:rPr>
        <w:t>部审批流程相互制衡，保障企业规范化运营。</w:t>
      </w:r>
    </w:p>
    <w:p>
      <w:pPr>
        <w:pStyle w:val="BodyText"/>
        <w:ind w:left="27"/>
        <w:spacing w:before="313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17" w:id="22"/>
      <w:bookmarkEnd w:id="22"/>
      <w:r>
        <w:rPr>
          <w:sz w:val="31"/>
          <w:szCs w:val="31"/>
          <w:b/>
          <w:bCs/>
          <w:spacing w:val="5"/>
        </w:rPr>
        <w:t>3.2</w:t>
      </w:r>
      <w:r>
        <w:rPr>
          <w:sz w:val="31"/>
          <w:szCs w:val="31"/>
          <w:b/>
          <w:bCs/>
          <w:spacing w:val="48"/>
        </w:rPr>
        <w:t xml:space="preserve"> </w:t>
      </w:r>
      <w:r>
        <w:rPr>
          <w:rFonts w:ascii="DengXian" w:hAnsi="DengXian" w:eastAsia="DengXian" w:cs="DengXian"/>
          <w:sz w:val="31"/>
          <w:szCs w:val="31"/>
          <w:b/>
          <w:bCs/>
          <w:spacing w:val="5"/>
        </w:rPr>
        <w:t>内控风控与商业道德治理披露</w:t>
      </w:r>
    </w:p>
    <w:p>
      <w:pPr>
        <w:ind w:left="23" w:right="199" w:firstLine="556"/>
        <w:spacing w:before="233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3"/>
        </w:rPr>
        <w:t>全维度风险排查： 覆盖招投标履约风险、供应链波动风险</w:t>
      </w:r>
      <w:r>
        <w:rPr>
          <w:rFonts w:ascii="DengXian" w:hAnsi="DengXian" w:eastAsia="DengXian" w:cs="DengXian"/>
          <w:sz w:val="28"/>
          <w:szCs w:val="28"/>
          <w:spacing w:val="-4"/>
        </w:rPr>
        <w:t>、财</w:t>
      </w:r>
      <w:r>
        <w:rPr>
          <w:rFonts w:ascii="DengXian" w:hAnsi="DengXian" w:eastAsia="DengXian" w:cs="DengXian"/>
          <w:sz w:val="28"/>
          <w:szCs w:val="28"/>
          <w:spacing w:val="-3"/>
        </w:rPr>
        <w:t>务经营风险、安全生产风险、环保合规风险； 定期开展内部体系审</w:t>
      </w:r>
      <w:r>
        <w:rPr>
          <w:rFonts w:ascii="DengXian" w:hAnsi="DengXian" w:eastAsia="DengXian" w:cs="DengXian"/>
          <w:sz w:val="28"/>
          <w:szCs w:val="28"/>
          <w:spacing w:val="-2"/>
        </w:rPr>
        <w:t>核、年度管理评审，持续优化管理制度漏洞。</w:t>
      </w:r>
    </w:p>
    <w:p>
      <w:pPr>
        <w:ind w:left="21" w:right="199" w:firstLine="572"/>
        <w:spacing w:before="4" w:line="359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商业合规管理： 恪守行业公平竞争商业准则，坚决杜绝商业贿</w:t>
      </w:r>
      <w:r>
        <w:rPr>
          <w:rFonts w:ascii="DengXian" w:hAnsi="DengXian" w:eastAsia="DengXian" w:cs="DengXian"/>
          <w:sz w:val="28"/>
          <w:szCs w:val="28"/>
          <w:spacing w:val="-1"/>
        </w:rPr>
        <w:t>赂、违规竞标等经营行为，严守商业道德底线，实现招投标全流程</w:t>
      </w:r>
      <w:r>
        <w:rPr>
          <w:rFonts w:ascii="DengXian" w:hAnsi="DengXian" w:eastAsia="DengXian" w:cs="DengXian"/>
          <w:sz w:val="28"/>
          <w:szCs w:val="28"/>
          <w:spacing w:val="-1"/>
        </w:rPr>
        <w:t>合规管控。</w:t>
      </w:r>
    </w:p>
    <w:p>
      <w:pPr>
        <w:ind w:left="24" w:right="199" w:firstLine="561"/>
        <w:spacing w:before="3" w:line="359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知识产权保密：</w:t>
      </w:r>
      <w:r>
        <w:rPr>
          <w:rFonts w:ascii="DengXian" w:hAnsi="DengXian" w:eastAsia="DengXian" w:cs="DengXian"/>
          <w:sz w:val="28"/>
          <w:szCs w:val="28"/>
          <w:spacing w:val="2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4"/>
        </w:rPr>
        <w:t>强化知识产权治理，保护自有专利、</w:t>
      </w:r>
      <w:r>
        <w:rPr>
          <w:rFonts w:ascii="DengXian" w:hAnsi="DengXian" w:eastAsia="DengXian" w:cs="DengXian"/>
          <w:sz w:val="28"/>
          <w:szCs w:val="28"/>
          <w:spacing w:val="-5"/>
        </w:rPr>
        <w:t>实用新型</w:t>
      </w:r>
      <w:r>
        <w:rPr>
          <w:rFonts w:ascii="DengXian" w:hAnsi="DengXian" w:eastAsia="DengXian" w:cs="DengXian"/>
          <w:sz w:val="28"/>
          <w:szCs w:val="28"/>
          <w:spacing w:val="-1"/>
        </w:rPr>
        <w:t>技术成果；规范内部技术资料、经营台账、项目信息保密管理制</w:t>
      </w:r>
    </w:p>
    <w:p>
      <w:pPr>
        <w:ind w:left="26"/>
        <w:spacing w:line="227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2"/>
        </w:rPr>
        <w:t>度。</w:t>
      </w:r>
    </w:p>
    <w:p>
      <w:pPr>
        <w:pStyle w:val="BodyText"/>
        <w:spacing w:line="429" w:lineRule="auto"/>
        <w:rPr/>
      </w:pPr>
      <w:r/>
    </w:p>
    <w:p>
      <w:pPr>
        <w:pStyle w:val="BodyText"/>
        <w:ind w:left="27"/>
        <w:spacing w:before="105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18" w:id="23"/>
      <w:bookmarkEnd w:id="23"/>
      <w:r>
        <w:rPr>
          <w:sz w:val="31"/>
          <w:szCs w:val="31"/>
          <w:b/>
          <w:bCs/>
          <w:spacing w:val="7"/>
        </w:rPr>
        <w:t>3.3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信息安全与应急风险管理披露</w:t>
      </w:r>
    </w:p>
    <w:p>
      <w:pPr>
        <w:ind w:left="23" w:right="199" w:firstLine="568"/>
        <w:spacing w:before="235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划分企业内部数据访问权限，规范生产工艺数据、客户项目资</w:t>
      </w:r>
      <w:r>
        <w:rPr>
          <w:rFonts w:ascii="DengXian" w:hAnsi="DengXian" w:eastAsia="DengXian" w:cs="DengXian"/>
          <w:sz w:val="28"/>
          <w:szCs w:val="28"/>
          <w:spacing w:val="-1"/>
        </w:rPr>
        <w:t>料、经营财务台账保密管理，加固数字化运营信息防线。</w:t>
      </w:r>
    </w:p>
    <w:p>
      <w:pPr>
        <w:ind w:left="23" w:right="199"/>
        <w:spacing w:before="1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定期识别环境风险、生产安全风险、原材料供应链风险，配套完善</w:t>
      </w:r>
      <w:r>
        <w:rPr>
          <w:rFonts w:ascii="DengXian" w:hAnsi="DengXian" w:eastAsia="DengXian" w:cs="DengXian"/>
          <w:sz w:val="28"/>
          <w:szCs w:val="28"/>
          <w:spacing w:val="-1"/>
        </w:rPr>
        <w:t>各类突发事件应急预案、处置流程，风险预警与应对机制健全完</w:t>
      </w:r>
    </w:p>
    <w:p>
      <w:pPr>
        <w:ind w:left="30"/>
        <w:spacing w:before="1" w:line="225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3"/>
        </w:rPr>
        <w:t>善。</w:t>
      </w:r>
    </w:p>
    <w:p>
      <w:pPr>
        <w:pStyle w:val="BodyText"/>
        <w:spacing w:line="479" w:lineRule="auto"/>
        <w:rPr/>
      </w:pPr>
      <w:r/>
    </w:p>
    <w:p>
      <w:pPr>
        <w:pStyle w:val="BodyText"/>
        <w:ind w:left="25"/>
        <w:spacing w:before="122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19" w:id="24"/>
      <w:bookmarkEnd w:id="24"/>
      <w:bookmarkStart w:name="bookmark20" w:id="25"/>
      <w:bookmarkEnd w:id="25"/>
      <w:r>
        <w:rPr>
          <w:rFonts w:ascii="DengXian" w:hAnsi="DengXian" w:eastAsia="DengXian" w:cs="DengXian"/>
          <w:sz w:val="36"/>
          <w:szCs w:val="36"/>
          <w:b/>
          <w:bCs/>
          <w:spacing w:val="-5"/>
        </w:rPr>
        <w:t>第四部分</w:t>
      </w:r>
      <w:r>
        <w:rPr>
          <w:rFonts w:ascii="DengXian" w:hAnsi="DengXian" w:eastAsia="DengXian" w:cs="DengXian"/>
          <w:sz w:val="36"/>
          <w:szCs w:val="36"/>
          <w:b/>
          <w:bCs/>
          <w:spacing w:val="48"/>
        </w:rPr>
        <w:t xml:space="preserve"> </w:t>
      </w:r>
      <w:r>
        <w:rPr>
          <w:rFonts w:ascii="DengXian" w:hAnsi="DengXian" w:eastAsia="DengXian" w:cs="DengXian"/>
          <w:sz w:val="36"/>
          <w:szCs w:val="36"/>
          <w:b/>
          <w:bCs/>
          <w:spacing w:val="-5"/>
        </w:rPr>
        <w:t>中长期</w:t>
      </w:r>
      <w:r>
        <w:rPr>
          <w:rFonts w:ascii="DengXian" w:hAnsi="DengXian" w:eastAsia="DengXian" w:cs="DengXian"/>
          <w:sz w:val="36"/>
          <w:szCs w:val="36"/>
          <w:b/>
          <w:bCs/>
          <w:spacing w:val="29"/>
        </w:rPr>
        <w:t xml:space="preserve"> </w:t>
      </w:r>
      <w:r>
        <w:rPr>
          <w:sz w:val="36"/>
          <w:szCs w:val="36"/>
          <w:b/>
          <w:bCs/>
          <w:spacing w:val="-5"/>
        </w:rPr>
        <w:t>ESG </w:t>
      </w:r>
      <w:r>
        <w:rPr>
          <w:rFonts w:ascii="DengXian" w:hAnsi="DengXian" w:eastAsia="DengXian" w:cs="DengXian"/>
          <w:sz w:val="36"/>
          <w:szCs w:val="36"/>
          <w:b/>
          <w:bCs/>
          <w:spacing w:val="-5"/>
        </w:rPr>
        <w:t>后续规划披露</w:t>
      </w:r>
    </w:p>
    <w:p>
      <w:pPr>
        <w:pStyle w:val="BodyText"/>
        <w:spacing w:line="337" w:lineRule="auto"/>
        <w:rPr/>
      </w:pPr>
      <w:r/>
    </w:p>
    <w:p>
      <w:pPr>
        <w:ind w:left="15"/>
        <w:spacing w:before="106" w:line="233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33" w:id="26"/>
      <w:bookmarkEnd w:id="26"/>
      <w:r>
        <w:rPr>
          <w:rFonts w:ascii="DengXian" w:hAnsi="DengXian" w:eastAsia="DengXian" w:cs="DengXian"/>
          <w:sz w:val="31"/>
          <w:szCs w:val="31"/>
          <w:b/>
          <w:bCs/>
          <w:spacing w:val="9"/>
        </w:rPr>
        <w:t>短期规划</w:t>
      </w:r>
    </w:p>
    <w:p>
      <w:pPr>
        <w:ind w:left="28" w:right="128" w:firstLine="555"/>
        <w:spacing w:before="228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持续深化厂区节能工艺改造，稳固污染物常态化管控水平，逐</w:t>
      </w:r>
      <w:r>
        <w:rPr>
          <w:rFonts w:ascii="DengXian" w:hAnsi="DengXian" w:eastAsia="DengXian" w:cs="DengXian"/>
          <w:sz w:val="28"/>
          <w:szCs w:val="28"/>
          <w:spacing w:val="-1"/>
        </w:rPr>
        <w:t>年提升工业废料资源化回收利用率，完善年度</w:t>
      </w:r>
      <w:r>
        <w:rPr>
          <w:rFonts w:ascii="DengXian" w:hAnsi="DengXian" w:eastAsia="DengXian" w:cs="DengXian"/>
          <w:sz w:val="28"/>
          <w:szCs w:val="28"/>
          <w:spacing w:val="24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1"/>
        </w:rPr>
        <w:t>ESG </w:t>
      </w:r>
      <w:r>
        <w:rPr>
          <w:rFonts w:ascii="DengXian" w:hAnsi="DengXian" w:eastAsia="DengXian" w:cs="DengXian"/>
          <w:sz w:val="28"/>
          <w:szCs w:val="28"/>
          <w:spacing w:val="-2"/>
        </w:rPr>
        <w:t>运营量化数据台</w:t>
      </w:r>
    </w:p>
    <w:p>
      <w:pPr>
        <w:spacing w:line="364" w:lineRule="auto"/>
        <w:sectPr>
          <w:footerReference w:type="default" r:id="rId7"/>
          <w:pgSz w:w="11905" w:h="16841"/>
          <w:pgMar w:top="1425" w:right="1785" w:bottom="933" w:left="1785" w:header="0" w:footer="682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ind w:left="24"/>
        <w:spacing w:before="59" w:line="228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8"/>
        </w:rPr>
        <w:t>账积累。</w:t>
      </w:r>
    </w:p>
    <w:p>
      <w:pPr>
        <w:pStyle w:val="BodyText"/>
        <w:spacing w:line="425" w:lineRule="auto"/>
        <w:rPr/>
      </w:pPr>
      <w:r/>
    </w:p>
    <w:p>
      <w:pPr>
        <w:ind w:left="56"/>
        <w:spacing w:before="105" w:line="233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1" w:id="27"/>
      <w:bookmarkEnd w:id="27"/>
      <w:r>
        <w:rPr>
          <w:rFonts w:ascii="DengXian" w:hAnsi="DengXian" w:eastAsia="DengXian" w:cs="DengXian"/>
          <w:sz w:val="31"/>
          <w:szCs w:val="31"/>
          <w:b/>
          <w:bCs/>
          <w:spacing w:val="-1"/>
        </w:rPr>
        <w:t>中期规划</w:t>
      </w:r>
    </w:p>
    <w:p>
      <w:pPr>
        <w:ind w:left="24" w:right="213" w:firstLine="562"/>
        <w:spacing w:before="226" w:line="365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加大低碳型隔离开关、熔断器、避雷器新产品研发投入，</w:t>
      </w:r>
      <w:r>
        <w:rPr>
          <w:rFonts w:ascii="DengXian" w:hAnsi="DengXian" w:eastAsia="DengXian" w:cs="DengXian"/>
          <w:sz w:val="28"/>
          <w:szCs w:val="28"/>
          <w:spacing w:val="-2"/>
        </w:rPr>
        <w:t>扩充</w:t>
      </w:r>
      <w:r>
        <w:rPr>
          <w:rFonts w:ascii="DengXian" w:hAnsi="DengXian" w:eastAsia="DengXian" w:cs="DengXian"/>
          <w:sz w:val="28"/>
          <w:szCs w:val="28"/>
          <w:spacing w:val="-2"/>
        </w:rPr>
        <w:t>绿色节能产品矩阵，持续优化上游绿色供应链准入考核标准。</w:t>
      </w:r>
    </w:p>
    <w:p>
      <w:pPr>
        <w:ind w:left="27"/>
        <w:spacing w:before="310" w:line="232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2" w:id="28"/>
      <w:bookmarkEnd w:id="28"/>
      <w:r>
        <w:rPr>
          <w:rFonts w:ascii="DengXian" w:hAnsi="DengXian" w:eastAsia="DengXian" w:cs="DengXian"/>
          <w:sz w:val="31"/>
          <w:szCs w:val="31"/>
          <w:b/>
          <w:bCs/>
          <w:spacing w:val="5"/>
        </w:rPr>
        <w:t>长期规划</w:t>
      </w:r>
    </w:p>
    <w:p>
      <w:pPr>
        <w:ind w:left="20" w:right="129" w:firstLine="576"/>
        <w:spacing w:before="228" w:line="363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紧跟国家双碳宏观战略，分步推进厂区低碳智能化升级，坚持</w:t>
      </w:r>
      <w:r>
        <w:rPr>
          <w:rFonts w:ascii="DengXian" w:hAnsi="DengXian" w:eastAsia="DengXian" w:cs="DengXian"/>
          <w:sz w:val="28"/>
          <w:szCs w:val="28"/>
          <w:spacing w:val="-1"/>
        </w:rPr>
        <w:t>每年常态化开展</w:t>
      </w:r>
      <w:r>
        <w:rPr>
          <w:rFonts w:ascii="DengXian" w:hAnsi="DengXian" w:eastAsia="DengXian" w:cs="DengXian"/>
          <w:sz w:val="28"/>
          <w:szCs w:val="28"/>
          <w:spacing w:val="24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1"/>
        </w:rPr>
        <w:t>ESG 经营信息自主披露，实现企业经营效益、环境</w:t>
      </w:r>
      <w:r>
        <w:rPr>
          <w:rFonts w:ascii="DengXian" w:hAnsi="DengXian" w:eastAsia="DengXian" w:cs="DengXian"/>
          <w:sz w:val="28"/>
          <w:szCs w:val="28"/>
          <w:spacing w:val="-2"/>
        </w:rPr>
        <w:t>保护价值、社会责任价值协同稳步发展。</w:t>
      </w:r>
    </w:p>
    <w:p>
      <w:pPr>
        <w:pStyle w:val="BodyText"/>
        <w:spacing w:line="254" w:lineRule="auto"/>
        <w:rPr/>
      </w:pPr>
      <w:r/>
    </w:p>
    <w:p>
      <w:pPr>
        <w:ind w:left="29"/>
        <w:spacing w:before="122" w:line="223" w:lineRule="auto"/>
        <w:outlineLvl w:val="0"/>
        <w:rPr>
          <w:rFonts w:ascii="DengXian" w:hAnsi="DengXian" w:eastAsia="DengXian" w:cs="DengXian"/>
          <w:sz w:val="36"/>
          <w:szCs w:val="36"/>
        </w:rPr>
      </w:pPr>
      <w:bookmarkStart w:name="bookmark23" w:id="29"/>
      <w:bookmarkEnd w:id="29"/>
      <w:bookmarkStart w:name="bookmark24" w:id="30"/>
      <w:bookmarkEnd w:id="30"/>
      <w:r>
        <w:rPr>
          <w:rFonts w:ascii="DengXian" w:hAnsi="DengXian" w:eastAsia="DengXian" w:cs="DengXian"/>
          <w:sz w:val="36"/>
          <w:szCs w:val="36"/>
          <w:b/>
          <w:bCs/>
          <w:spacing w:val="-2"/>
        </w:rPr>
        <w:t>量化指标专项披露</w:t>
      </w:r>
    </w:p>
    <w:p>
      <w:pPr>
        <w:pStyle w:val="BodyText"/>
        <w:spacing w:line="340" w:lineRule="auto"/>
        <w:rPr/>
      </w:pPr>
      <w:r/>
    </w:p>
    <w:p>
      <w:pPr>
        <w:pStyle w:val="BodyText"/>
        <w:ind w:left="33"/>
        <w:spacing w:before="106" w:line="231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34" w:id="31"/>
      <w:bookmarkEnd w:id="31"/>
      <w:r>
        <w:rPr>
          <w:rFonts w:ascii="DengXian" w:hAnsi="DengXian" w:eastAsia="DengXian" w:cs="DengXian"/>
          <w:sz w:val="31"/>
          <w:szCs w:val="31"/>
          <w:b/>
          <w:bCs/>
          <w:spacing w:val="4"/>
        </w:rPr>
        <w:t>一、环境</w:t>
      </w:r>
      <w:r>
        <w:rPr>
          <w:rFonts w:ascii="DengXian" w:hAnsi="DengXian" w:eastAsia="DengXian" w:cs="DengXian"/>
          <w:sz w:val="31"/>
          <w:szCs w:val="31"/>
          <w:b/>
          <w:bCs/>
          <w:spacing w:val="42"/>
        </w:rPr>
        <w:t xml:space="preserve"> </w:t>
      </w:r>
      <w:r>
        <w:rPr>
          <w:sz w:val="31"/>
          <w:szCs w:val="31"/>
          <w:b/>
          <w:bCs/>
          <w:spacing w:val="4"/>
        </w:rPr>
        <w:t>E </w:t>
      </w:r>
      <w:r>
        <w:rPr>
          <w:rFonts w:ascii="DengXian" w:hAnsi="DengXian" w:eastAsia="DengXian" w:cs="DengXian"/>
          <w:sz w:val="31"/>
          <w:szCs w:val="31"/>
          <w:b/>
          <w:bCs/>
          <w:spacing w:val="4"/>
        </w:rPr>
        <w:t>维度量化数据</w:t>
      </w:r>
    </w:p>
    <w:p>
      <w:pPr>
        <w:ind w:left="28" w:right="205" w:firstLine="561"/>
        <w:spacing w:before="229"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能耗管控：依托</w:t>
      </w:r>
      <w:r>
        <w:rPr>
          <w:rFonts w:ascii="DengXian" w:hAnsi="DengXian" w:eastAsia="DengXian" w:cs="DengXian"/>
          <w:sz w:val="28"/>
          <w:szCs w:val="28"/>
          <w:spacing w:val="47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ISO50001 能源管理体系管控，近年度单位产</w:t>
      </w:r>
      <w:r>
        <w:rPr>
          <w:rFonts w:ascii="DengXian" w:hAnsi="DengXian" w:eastAsia="DengXian" w:cs="DengXian"/>
          <w:sz w:val="28"/>
          <w:szCs w:val="28"/>
          <w:spacing w:val="-1"/>
        </w:rPr>
        <w:t>品耗电量同比上一年度下降 5.2%；生产设备集中排班运行</w:t>
      </w:r>
      <w:r>
        <w:rPr>
          <w:rFonts w:ascii="DengXian" w:hAnsi="DengXian" w:eastAsia="DengXian" w:cs="DengXian"/>
          <w:sz w:val="28"/>
          <w:szCs w:val="28"/>
          <w:spacing w:val="-2"/>
        </w:rPr>
        <w:t>，设备空</w:t>
      </w:r>
      <w:r>
        <w:rPr>
          <w:rFonts w:ascii="DengXian" w:hAnsi="DengXian" w:eastAsia="DengXian" w:cs="DengXian"/>
          <w:sz w:val="28"/>
          <w:szCs w:val="28"/>
          <w:spacing w:val="-2"/>
        </w:rPr>
        <w:t>载能耗降幅明显。</w:t>
      </w:r>
    </w:p>
    <w:p>
      <w:pPr>
        <w:ind w:left="31" w:right="199" w:firstLine="576"/>
        <w:spacing w:before="3" w:line="359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固废资源化利用率：金属铜铝、绝缘型材一般工业边角废料回</w:t>
      </w:r>
      <w:r>
        <w:rPr>
          <w:rFonts w:ascii="DengXian" w:hAnsi="DengXian" w:eastAsia="DengXian" w:cs="DengXian"/>
          <w:sz w:val="28"/>
          <w:szCs w:val="28"/>
          <w:spacing w:val="-2"/>
        </w:rPr>
        <w:t>收利用率达到 96%</w:t>
      </w:r>
      <w:r>
        <w:rPr>
          <w:rFonts w:ascii="DengXian" w:hAnsi="DengXian" w:eastAsia="DengXian" w:cs="DengXian"/>
          <w:sz w:val="28"/>
          <w:szCs w:val="28"/>
          <w:spacing w:val="36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以上，全部定向回收二次资源化利用。</w:t>
      </w:r>
    </w:p>
    <w:p>
      <w:pPr>
        <w:ind w:left="23" w:right="199" w:firstLine="561"/>
        <w:spacing w:before="1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危废管理：废机油、试验废弃耗材建立年度台账，全年危废合</w:t>
      </w:r>
      <w:r>
        <w:rPr>
          <w:rFonts w:ascii="DengXian" w:hAnsi="DengXian" w:eastAsia="DengXian" w:cs="DengXian"/>
          <w:sz w:val="28"/>
          <w:szCs w:val="28"/>
          <w:spacing w:val="-2"/>
        </w:rPr>
        <w:t>规转运处置率</w:t>
      </w:r>
      <w:r>
        <w:rPr>
          <w:rFonts w:ascii="DengXian" w:hAnsi="DengXian" w:eastAsia="DengXian" w:cs="DengXian"/>
          <w:sz w:val="28"/>
          <w:szCs w:val="28"/>
          <w:spacing w:val="26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100%，留存完整转移联单及处置单位资质资料。</w:t>
      </w:r>
    </w:p>
    <w:p>
      <w:pPr>
        <w:ind w:left="30" w:right="328" w:firstLine="557"/>
        <w:spacing w:before="4" w:line="359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3"/>
        </w:rPr>
        <w:t>环保排放：每年</w:t>
      </w:r>
      <w:r>
        <w:rPr>
          <w:rFonts w:ascii="DengXian" w:hAnsi="DengXian" w:eastAsia="DengXian" w:cs="DengXian"/>
          <w:sz w:val="28"/>
          <w:szCs w:val="28"/>
          <w:spacing w:val="32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3"/>
        </w:rPr>
        <w:t>CMA 第三方检测，厂界废气、无组织排放、</w:t>
      </w:r>
      <w:r>
        <w:rPr>
          <w:rFonts w:ascii="DengXian" w:hAnsi="DengXian" w:eastAsia="DengXian" w:cs="DengXian"/>
          <w:sz w:val="28"/>
          <w:szCs w:val="28"/>
          <w:spacing w:val="-1"/>
        </w:rPr>
        <w:t>厂区噪声各项数值均低于地方排放标准限值，无环保行政处罚记</w:t>
      </w:r>
      <w:r>
        <w:rPr>
          <w:rFonts w:ascii="DengXian" w:hAnsi="DengXian" w:eastAsia="DengXian" w:cs="DengXian"/>
          <w:sz w:val="28"/>
          <w:szCs w:val="28"/>
          <w:spacing w:val="-13"/>
        </w:rPr>
        <w:t>录。</w:t>
      </w:r>
    </w:p>
    <w:p>
      <w:pPr>
        <w:ind w:left="24" w:right="213" w:firstLine="559"/>
        <w:spacing w:before="3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绿色选材：新产品迭代逐步普及无卤阻燃环保绝缘材料，淘汰</w:t>
      </w:r>
      <w:r>
        <w:rPr>
          <w:rFonts w:ascii="DengXian" w:hAnsi="DengXian" w:eastAsia="DengXian" w:cs="DengXian"/>
          <w:sz w:val="28"/>
          <w:szCs w:val="28"/>
          <w:spacing w:val="-2"/>
        </w:rPr>
        <w:t>老旧高污染辅材，绿色原材料采购占比逐年提升。</w:t>
      </w:r>
    </w:p>
    <w:p>
      <w:pPr>
        <w:spacing w:line="364" w:lineRule="auto"/>
        <w:sectPr>
          <w:footerReference w:type="default" r:id="rId8"/>
          <w:pgSz w:w="11905" w:h="16841"/>
          <w:pgMar w:top="1425" w:right="1785" w:bottom="933" w:left="1785" w:header="0" w:footer="684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pStyle w:val="BodyText"/>
        <w:ind w:left="37"/>
        <w:spacing w:before="67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5" w:id="32"/>
      <w:bookmarkEnd w:id="32"/>
      <w:r>
        <w:rPr>
          <w:rFonts w:ascii="DengXian" w:hAnsi="DengXian" w:eastAsia="DengXian" w:cs="DengXian"/>
          <w:sz w:val="31"/>
          <w:szCs w:val="31"/>
          <w:b/>
          <w:bCs/>
          <w:spacing w:val="6"/>
        </w:rPr>
        <w:t>二、社会 </w:t>
      </w:r>
      <w:r>
        <w:rPr>
          <w:sz w:val="31"/>
          <w:szCs w:val="31"/>
          <w:b/>
          <w:bCs/>
          <w:spacing w:val="6"/>
        </w:rPr>
        <w:t>S </w:t>
      </w:r>
      <w:r>
        <w:rPr>
          <w:rFonts w:ascii="DengXian" w:hAnsi="DengXian" w:eastAsia="DengXian" w:cs="DengXian"/>
          <w:sz w:val="31"/>
          <w:szCs w:val="31"/>
          <w:b/>
          <w:bCs/>
          <w:spacing w:val="6"/>
        </w:rPr>
        <w:t>维度量化绩效</w:t>
      </w:r>
    </w:p>
    <w:p>
      <w:pPr>
        <w:ind w:left="31" w:right="110" w:firstLine="551"/>
        <w:spacing w:before="231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2"/>
        </w:rPr>
        <w:t>人力保障：企业在岗员工劳动合同签订率</w:t>
      </w:r>
      <w:r>
        <w:rPr>
          <w:rFonts w:ascii="DengXian" w:hAnsi="DengXian" w:eastAsia="DengXian" w:cs="DengXian"/>
          <w:sz w:val="28"/>
          <w:szCs w:val="28"/>
          <w:spacing w:val="37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100%，社保缴纳全覆</w:t>
      </w:r>
      <w:r>
        <w:rPr>
          <w:rFonts w:ascii="DengXian" w:hAnsi="DengXian" w:eastAsia="DengXian" w:cs="DengXian"/>
          <w:sz w:val="28"/>
          <w:szCs w:val="28"/>
          <w:spacing w:val="-2"/>
        </w:rPr>
        <w:t>盖；每年组织全员职业健康体检，体检覆盖率</w:t>
      </w:r>
      <w:r>
        <w:rPr>
          <w:rFonts w:ascii="DengXian" w:hAnsi="DengXian" w:eastAsia="DengXian" w:cs="DengXian"/>
          <w:sz w:val="28"/>
          <w:szCs w:val="28"/>
          <w:spacing w:val="32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100%。</w:t>
      </w:r>
    </w:p>
    <w:p>
      <w:pPr>
        <w:ind w:left="27" w:right="199" w:firstLine="565"/>
        <w:spacing w:before="2" w:line="359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安全管理：生产及检测车间月度安全培训、季度应急演练，连</w:t>
      </w:r>
      <w:r>
        <w:rPr>
          <w:rFonts w:ascii="DengXian" w:hAnsi="DengXian" w:eastAsia="DengXian" w:cs="DengXian"/>
          <w:sz w:val="28"/>
          <w:szCs w:val="28"/>
          <w:spacing w:val="-1"/>
        </w:rPr>
        <w:t>续多年未发生重大安全生产责任事故。</w:t>
      </w:r>
    </w:p>
    <w:p>
      <w:pPr>
        <w:ind w:left="23" w:right="199" w:firstLine="559"/>
        <w:spacing w:line="360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3"/>
        </w:rPr>
        <w:t>研发人才建设： 组建稳定专职研发团队，包含中高级</w:t>
      </w:r>
      <w:r>
        <w:rPr>
          <w:rFonts w:ascii="DengXian" w:hAnsi="DengXian" w:eastAsia="DengXian" w:cs="DengXian"/>
          <w:sz w:val="28"/>
          <w:szCs w:val="28"/>
          <w:spacing w:val="-4"/>
        </w:rPr>
        <w:t>职称技术</w:t>
      </w:r>
      <w:r>
        <w:rPr>
          <w:rFonts w:ascii="DengXian" w:hAnsi="DengXian" w:eastAsia="DengXian" w:cs="DengXian"/>
          <w:sz w:val="28"/>
          <w:szCs w:val="28"/>
          <w:spacing w:val="-1"/>
        </w:rPr>
        <w:t>人员；持续投入新工艺、新型节能配网设备研发迭代，拥有多项自</w:t>
      </w:r>
      <w:r>
        <w:rPr>
          <w:rFonts w:ascii="DengXian" w:hAnsi="DengXian" w:eastAsia="DengXian" w:cs="DengXian"/>
          <w:sz w:val="28"/>
          <w:szCs w:val="28"/>
          <w:spacing w:val="-1"/>
        </w:rPr>
        <w:t>主知识产权专利。</w:t>
      </w:r>
    </w:p>
    <w:p>
      <w:pPr>
        <w:ind w:left="22" w:right="199" w:firstLine="558"/>
        <w:spacing w:before="3" w:line="359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供应链管控：现有合作供应商年度动态考评，环保及质量不合</w:t>
      </w:r>
      <w:r>
        <w:rPr>
          <w:rFonts w:ascii="DengXian" w:hAnsi="DengXian" w:eastAsia="DengXian" w:cs="DengXian"/>
          <w:sz w:val="28"/>
          <w:szCs w:val="28"/>
          <w:spacing w:val="-1"/>
        </w:rPr>
        <w:t>格供应商淘汰机制落地执行，绿色供应商入库</w:t>
      </w:r>
      <w:r>
        <w:rPr>
          <w:rFonts w:ascii="DengXian" w:hAnsi="DengXian" w:eastAsia="DengXian" w:cs="DengXian"/>
          <w:sz w:val="28"/>
          <w:szCs w:val="28"/>
          <w:spacing w:val="-2"/>
        </w:rPr>
        <w:t>比例逐年优化。</w:t>
      </w:r>
    </w:p>
    <w:p>
      <w:pPr>
        <w:ind w:left="29" w:right="104" w:firstLine="554"/>
        <w:spacing w:before="2" w:line="364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售后服务履约： 过往电网框架项目供货履约准时率</w:t>
      </w:r>
      <w:r>
        <w:rPr>
          <w:rFonts w:ascii="DengXian" w:hAnsi="DengXian" w:eastAsia="DengXian" w:cs="DengXian"/>
          <w:sz w:val="28"/>
          <w:szCs w:val="28"/>
          <w:spacing w:val="26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4"/>
        </w:rPr>
        <w:t>100%，质保</w:t>
      </w:r>
      <w:r>
        <w:rPr>
          <w:rFonts w:ascii="DengXian" w:hAnsi="DengXian" w:eastAsia="DengXian" w:cs="DengXian"/>
          <w:sz w:val="28"/>
          <w:szCs w:val="28"/>
          <w:spacing w:val="-3"/>
        </w:rPr>
        <w:t>期内售后响应机制完善，客户满意度达标。</w:t>
      </w:r>
    </w:p>
    <w:p>
      <w:pPr>
        <w:pStyle w:val="BodyText"/>
        <w:ind w:left="31"/>
        <w:spacing w:before="312" w:line="231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6" w:id="33"/>
      <w:bookmarkEnd w:id="33"/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三、治理 </w:t>
      </w:r>
      <w:r>
        <w:rPr>
          <w:sz w:val="31"/>
          <w:szCs w:val="31"/>
          <w:b/>
          <w:bCs/>
          <w:spacing w:val="7"/>
        </w:rPr>
        <w:t>G </w:t>
      </w:r>
      <w:r>
        <w:rPr>
          <w:rFonts w:ascii="DengXian" w:hAnsi="DengXian" w:eastAsia="DengXian" w:cs="DengXian"/>
          <w:sz w:val="31"/>
          <w:szCs w:val="31"/>
          <w:b/>
          <w:bCs/>
          <w:spacing w:val="7"/>
        </w:rPr>
        <w:t>维度量化运营指标</w:t>
      </w:r>
    </w:p>
    <w:p>
      <w:pPr>
        <w:ind w:left="41" w:right="137" w:firstLine="535"/>
        <w:spacing w:before="229"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体系审核：三大管理体系每年完成一次内部审核</w:t>
      </w:r>
      <w:r>
        <w:rPr>
          <w:rFonts w:ascii="DengXian" w:hAnsi="DengXian" w:eastAsia="DengXian" w:cs="DengXian"/>
          <w:sz w:val="28"/>
          <w:szCs w:val="28"/>
          <w:spacing w:val="30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1"/>
        </w:rPr>
        <w:t>+</w:t>
      </w:r>
      <w:r>
        <w:rPr>
          <w:rFonts w:ascii="DengXian" w:hAnsi="DengXian" w:eastAsia="DengXian" w:cs="DengXian"/>
          <w:sz w:val="28"/>
          <w:szCs w:val="28"/>
          <w:spacing w:val="-2"/>
        </w:rPr>
        <w:t xml:space="preserve"> 年度管理评</w:t>
      </w:r>
      <w:r>
        <w:rPr>
          <w:rFonts w:ascii="DengXian" w:hAnsi="DengXian" w:eastAsia="DengXian" w:cs="DengXian"/>
          <w:sz w:val="28"/>
          <w:szCs w:val="28"/>
          <w:spacing w:val="-3"/>
        </w:rPr>
        <w:t>审，体系整改闭环完成率</w:t>
      </w:r>
      <w:r>
        <w:rPr>
          <w:rFonts w:ascii="DengXian" w:hAnsi="DengXian" w:eastAsia="DengXian" w:cs="DengXian"/>
          <w:sz w:val="28"/>
          <w:szCs w:val="28"/>
          <w:spacing w:val="21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3"/>
        </w:rPr>
        <w:t>100%。</w:t>
      </w:r>
    </w:p>
    <w:p>
      <w:pPr>
        <w:ind w:left="21" w:right="199" w:firstLine="561"/>
        <w:spacing w:before="3" w:line="359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风控管理：每年定期开展经营风险、履约风险、合规风险、供</w:t>
      </w:r>
      <w:r>
        <w:rPr>
          <w:rFonts w:ascii="DengXian" w:hAnsi="DengXian" w:eastAsia="DengXian" w:cs="DengXian"/>
          <w:sz w:val="28"/>
          <w:szCs w:val="28"/>
          <w:spacing w:val="-2"/>
        </w:rPr>
        <w:t>应链风险全面排查，及时完善制度漏洞。</w:t>
      </w:r>
    </w:p>
    <w:p>
      <w:pPr>
        <w:ind w:left="30" w:right="217" w:firstLine="555"/>
        <w:spacing w:line="360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6"/>
        </w:rPr>
        <w:t>知识产权管控：</w:t>
      </w:r>
      <w:r>
        <w:rPr>
          <w:rFonts w:ascii="DengXian" w:hAnsi="DengXian" w:eastAsia="DengXian" w:cs="DengXian"/>
          <w:sz w:val="28"/>
          <w:szCs w:val="28"/>
          <w:spacing w:val="53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6"/>
        </w:rPr>
        <w:t>自有专利、工艺技术资料分级权限管控，建立</w:t>
      </w:r>
      <w:r>
        <w:rPr>
          <w:rFonts w:ascii="DengXian" w:hAnsi="DengXian" w:eastAsia="DengXian" w:cs="DengXian"/>
          <w:sz w:val="28"/>
          <w:szCs w:val="28"/>
          <w:spacing w:val="-4"/>
        </w:rPr>
        <w:t>完善企业保密管理制度。</w:t>
      </w:r>
    </w:p>
    <w:p>
      <w:pPr>
        <w:ind w:left="24" w:right="199" w:firstLine="563"/>
        <w:spacing w:before="2" w:line="363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经营合规：企业经营存续期间，无失信被执行人记录、无招投</w:t>
      </w:r>
      <w:r>
        <w:rPr>
          <w:rFonts w:ascii="DengXian" w:hAnsi="DengXian" w:eastAsia="DengXian" w:cs="DengXian"/>
          <w:sz w:val="28"/>
          <w:szCs w:val="28"/>
          <w:spacing w:val="-2"/>
        </w:rPr>
        <w:t>标违规、无商业贿赂及市场监管处罚记录，整体信用状况良好。</w:t>
      </w:r>
    </w:p>
    <w:p>
      <w:pPr>
        <w:ind w:left="52"/>
        <w:spacing w:before="315" w:line="229" w:lineRule="auto"/>
        <w:outlineLvl w:val="1"/>
        <w:rPr>
          <w:rFonts w:ascii="DengXian" w:hAnsi="DengXian" w:eastAsia="DengXian" w:cs="DengXian"/>
          <w:sz w:val="31"/>
          <w:szCs w:val="31"/>
        </w:rPr>
      </w:pPr>
      <w:bookmarkStart w:name="bookmark27" w:id="34"/>
      <w:bookmarkEnd w:id="34"/>
      <w:r>
        <w:rPr>
          <w:rFonts w:ascii="DengXian" w:hAnsi="DengXian" w:eastAsia="DengXian" w:cs="DengXian"/>
          <w:sz w:val="31"/>
          <w:szCs w:val="31"/>
          <w:b/>
          <w:bCs/>
          <w:spacing w:val="5"/>
        </w:rPr>
        <w:t>四、补充承诺条款</w:t>
      </w:r>
    </w:p>
    <w:p>
      <w:pPr>
        <w:ind w:left="582"/>
        <w:spacing w:before="234" w:line="225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本公司承诺，后续经营周期内持续完善</w:t>
      </w:r>
      <w:r>
        <w:rPr>
          <w:rFonts w:ascii="DengXian" w:hAnsi="DengXian" w:eastAsia="DengXian" w:cs="DengXian"/>
          <w:sz w:val="28"/>
          <w:szCs w:val="28"/>
          <w:spacing w:val="28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1"/>
        </w:rPr>
        <w:t>ESG 各项</w:t>
      </w:r>
      <w:r>
        <w:rPr>
          <w:rFonts w:ascii="DengXian" w:hAnsi="DengXian" w:eastAsia="DengXian" w:cs="DengXian"/>
          <w:sz w:val="28"/>
          <w:szCs w:val="28"/>
          <w:spacing w:val="-2"/>
        </w:rPr>
        <w:t>指标台账，逐</w:t>
      </w:r>
    </w:p>
    <w:p>
      <w:pPr>
        <w:spacing w:line="225" w:lineRule="auto"/>
        <w:sectPr>
          <w:footerReference w:type="default" r:id="rId9"/>
          <w:pgSz w:w="11905" w:h="16841"/>
          <w:pgMar w:top="1424" w:right="1785" w:bottom="933" w:left="1785" w:header="0" w:footer="684" w:gutter="0"/>
        </w:sectPr>
        <w:rPr>
          <w:rFonts w:ascii="DengXian" w:hAnsi="DengXian" w:eastAsia="DengXian" w:cs="DengXian"/>
          <w:sz w:val="28"/>
          <w:szCs w:val="28"/>
        </w:rPr>
      </w:pPr>
    </w:p>
    <w:p>
      <w:pPr>
        <w:ind w:left="20" w:right="198" w:firstLine="8"/>
        <w:spacing w:before="60" w:line="362" w:lineRule="auto"/>
        <w:jc w:val="both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1"/>
        </w:rPr>
        <w:t>年优化节能降耗指标、深化绿色供应链建设</w:t>
      </w:r>
      <w:r>
        <w:rPr>
          <w:rFonts w:ascii="DengXian" w:hAnsi="DengXian" w:eastAsia="DengXian" w:cs="DengXian"/>
          <w:sz w:val="28"/>
          <w:szCs w:val="28"/>
          <w:spacing w:val="-2"/>
        </w:rPr>
        <w:t>，坚持年度常态化</w:t>
      </w:r>
      <w:r>
        <w:rPr>
          <w:rFonts w:ascii="DengXian" w:hAnsi="DengXian" w:eastAsia="DengXian" w:cs="DengXian"/>
          <w:sz w:val="28"/>
          <w:szCs w:val="28"/>
          <w:spacing w:val="28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2"/>
        </w:rPr>
        <w:t>ESG</w:t>
      </w:r>
      <w:r>
        <w:rPr>
          <w:rFonts w:ascii="DengXian" w:hAnsi="DengXian" w:eastAsia="DengXian" w:cs="DengXian"/>
          <w:sz w:val="28"/>
          <w:szCs w:val="28"/>
          <w:spacing w:val="-3"/>
        </w:rPr>
        <w:t>信息自主披露； 严格恪守环保法规、劳动法规、行业经营准则，稳</w:t>
      </w:r>
      <w:r>
        <w:rPr>
          <w:rFonts w:ascii="DengXian" w:hAnsi="DengXian" w:eastAsia="DengXian" w:cs="DengXian"/>
          <w:sz w:val="28"/>
          <w:szCs w:val="28"/>
          <w:spacing w:val="-1"/>
        </w:rPr>
        <w:t>健履行供应商环境责任、社会责任与现代化企业治理责任。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2966"/>
        <w:spacing w:before="95" w:line="224" w:lineRule="auto"/>
        <w:rPr>
          <w:rFonts w:ascii="DengXian" w:hAnsi="DengXian" w:eastAsia="DengXian" w:cs="DengXian"/>
          <w:sz w:val="28"/>
          <w:szCs w:val="2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2514219</wp:posOffset>
            </wp:positionH>
            <wp:positionV relativeFrom="paragraph">
              <wp:posOffset>-631375</wp:posOffset>
            </wp:positionV>
            <wp:extent cx="1685925" cy="163830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59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engXian" w:hAnsi="DengXian" w:eastAsia="DengXian" w:cs="DengXian"/>
          <w:sz w:val="28"/>
          <w:szCs w:val="28"/>
          <w:spacing w:val="-1"/>
        </w:rPr>
        <w:t>披露单位：辽宁宇光输变电有限公司</w:t>
      </w:r>
    </w:p>
    <w:p>
      <w:pPr>
        <w:pStyle w:val="BodyText"/>
        <w:spacing w:line="315" w:lineRule="auto"/>
        <w:rPr/>
      </w:pPr>
      <w:r/>
    </w:p>
    <w:p>
      <w:pPr>
        <w:pStyle w:val="BodyText"/>
        <w:spacing w:line="315" w:lineRule="auto"/>
        <w:rPr/>
      </w:pPr>
      <w:r/>
    </w:p>
    <w:p>
      <w:pPr>
        <w:pStyle w:val="BodyText"/>
        <w:ind w:left="3427"/>
        <w:spacing w:before="95" w:line="226" w:lineRule="auto"/>
        <w:rPr>
          <w:rFonts w:ascii="DengXian" w:hAnsi="DengXian" w:eastAsia="DengXian" w:cs="DengXian"/>
          <w:sz w:val="28"/>
          <w:szCs w:val="28"/>
        </w:rPr>
      </w:pPr>
      <w:r>
        <w:rPr>
          <w:rFonts w:ascii="DengXian" w:hAnsi="DengXian" w:eastAsia="DengXian" w:cs="DengXian"/>
          <w:sz w:val="28"/>
          <w:szCs w:val="28"/>
          <w:spacing w:val="-4"/>
        </w:rPr>
        <w:t>编制日期： </w:t>
      </w:r>
      <w:r>
        <w:rPr>
          <w:sz w:val="28"/>
          <w:szCs w:val="28"/>
          <w:spacing w:val="-4"/>
        </w:rPr>
        <w:t>2026 </w:t>
      </w:r>
      <w:r>
        <w:rPr>
          <w:rFonts w:ascii="DengXian" w:hAnsi="DengXian" w:eastAsia="DengXian" w:cs="DengXian"/>
          <w:sz w:val="28"/>
          <w:szCs w:val="28"/>
          <w:spacing w:val="-4"/>
        </w:rPr>
        <w:t>年 </w:t>
      </w:r>
      <w:r>
        <w:rPr>
          <w:sz w:val="28"/>
          <w:szCs w:val="28"/>
          <w:spacing w:val="-4"/>
        </w:rPr>
        <w:t>6 </w:t>
      </w:r>
      <w:r>
        <w:rPr>
          <w:rFonts w:ascii="DengXian" w:hAnsi="DengXian" w:eastAsia="DengXian" w:cs="DengXian"/>
          <w:sz w:val="28"/>
          <w:szCs w:val="28"/>
          <w:spacing w:val="-4"/>
        </w:rPr>
        <w:t>月</w:t>
      </w:r>
      <w:r>
        <w:rPr>
          <w:sz w:val="28"/>
          <w:szCs w:val="28"/>
          <w:spacing w:val="-4"/>
        </w:rPr>
        <w:t>26</w:t>
      </w:r>
      <w:r>
        <w:rPr>
          <w:sz w:val="28"/>
          <w:szCs w:val="28"/>
          <w:spacing w:val="50"/>
          <w:w w:val="101"/>
        </w:rPr>
        <w:t xml:space="preserve"> </w:t>
      </w:r>
      <w:r>
        <w:rPr>
          <w:rFonts w:ascii="DengXian" w:hAnsi="DengXian" w:eastAsia="DengXian" w:cs="DengXian"/>
          <w:sz w:val="28"/>
          <w:szCs w:val="28"/>
          <w:spacing w:val="-4"/>
        </w:rPr>
        <w:t>日</w:t>
      </w:r>
    </w:p>
    <w:sectPr>
      <w:footerReference w:type="default" r:id="rId10"/>
      <w:pgSz w:w="11905" w:h="16841"/>
      <w:pgMar w:top="1425" w:right="1785" w:bottom="933" w:left="1785" w:header="0" w:footer="68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3"/>
      <w:spacing w:line="236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  <w:spacing w:val="-4"/>
      </w:rPr>
      <w:t>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236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6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236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8"/>
      <w:spacing w:line="236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8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8"/>
      <w:spacing w:line="234" w:lineRule="auto"/>
      <w:rPr>
        <w:rFonts w:ascii="DengXian" w:hAnsi="DengXian" w:eastAsia="DengXian" w:cs="DengXian"/>
        <w:sz w:val="18"/>
        <w:szCs w:val="18"/>
      </w:rPr>
    </w:pPr>
    <w:r>
      <w:rPr>
        <w:rFonts w:ascii="DengXian" w:hAnsi="DengXian" w:eastAsia="DengXian" w:cs="DengXi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1.jpeg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2019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dcterms:created xsi:type="dcterms:W3CDTF">2026-07-12T13:25:03Z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2026-07-13T11:23:01</vt:filetime>
  </property>
</Properties>
</file>